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E57" w:rsidRPr="009F761E" w:rsidRDefault="009F761E" w:rsidP="009F761E">
      <w:pPr>
        <w:spacing w:after="80" w:line="360" w:lineRule="auto"/>
        <w:jc w:val="center"/>
      </w:pPr>
      <w:r w:rsidRPr="009F761E">
        <w:rPr>
          <w:b/>
          <w:bCs/>
        </w:rPr>
        <w:t>Business Communication</w:t>
      </w:r>
    </w:p>
    <w:p w:rsidR="00C90E57" w:rsidRPr="009F761E" w:rsidRDefault="009F761E" w:rsidP="009F761E">
      <w:pPr>
        <w:spacing w:after="80" w:line="360" w:lineRule="auto"/>
        <w:jc w:val="center"/>
      </w:pPr>
      <w:r w:rsidRPr="009F761E">
        <w:rPr>
          <w:b/>
          <w:bCs/>
        </w:rPr>
        <w:t>Jun 2026 Examination</w:t>
      </w:r>
    </w:p>
    <w:p w:rsidR="009F761E" w:rsidRDefault="009F761E" w:rsidP="009F761E">
      <w:pPr>
        <w:spacing w:before="200" w:after="100" w:line="360" w:lineRule="auto"/>
        <w:jc w:val="both"/>
        <w:rPr>
          <w:b/>
          <w:bCs/>
        </w:rPr>
      </w:pPr>
    </w:p>
    <w:p w:rsidR="009F761E" w:rsidRDefault="009F761E" w:rsidP="009F761E">
      <w:pPr>
        <w:spacing w:before="200" w:after="100" w:line="360" w:lineRule="auto"/>
        <w:jc w:val="both"/>
        <w:rPr>
          <w:b/>
          <w:bCs/>
        </w:rPr>
      </w:pPr>
    </w:p>
    <w:p w:rsidR="00C90E57" w:rsidRPr="009F761E" w:rsidRDefault="009F761E" w:rsidP="009F761E">
      <w:pPr>
        <w:spacing w:before="200" w:after="100" w:line="360" w:lineRule="auto"/>
        <w:jc w:val="both"/>
      </w:pPr>
      <w:r w:rsidRPr="009F761E">
        <w:rPr>
          <w:b/>
          <w:bCs/>
        </w:rPr>
        <w:t>Q1. A global retail chain's legal team is negotiating a franchise development agreement in a new region. The counterpart, a local business group, expresses concerns about fairness and seeks legal assurances regarding ongoing support and equitable profit sharing. Past unethical negotiation tactics in the region from other multinationals have created widespread distrust. The retail chain's reputation for integrity is at stake, and long-term market entry depends on building lasting trust with the local partner while still securing essential contractual protections.</w:t>
      </w:r>
    </w:p>
    <w:p w:rsidR="00C90E57" w:rsidRPr="009F761E" w:rsidRDefault="009F761E" w:rsidP="009F761E">
      <w:pPr>
        <w:spacing w:before="200" w:after="100" w:line="360" w:lineRule="auto"/>
        <w:jc w:val="both"/>
      </w:pPr>
      <w:r w:rsidRPr="009F761E">
        <w:rPr>
          <w:b/>
          <w:bCs/>
        </w:rPr>
        <w:t>How should the legal team apply ethical principles and integrity-focused negotiation practices, as outlined in the provided context, to structure their discussions, build trust, and achieve both fair outcomes and long-term business success? (10 Marks)</w:t>
      </w:r>
    </w:p>
    <w:p w:rsidR="00C90E57" w:rsidRPr="009F761E" w:rsidRDefault="009F761E" w:rsidP="009F761E">
      <w:pPr>
        <w:spacing w:before="200" w:after="80" w:line="360" w:lineRule="auto"/>
        <w:jc w:val="both"/>
      </w:pPr>
      <w:proofErr w:type="gramStart"/>
      <w:r w:rsidRPr="009F761E">
        <w:rPr>
          <w:b/>
          <w:bCs/>
        </w:rPr>
        <w:t>Ans 1.</w:t>
      </w:r>
      <w:proofErr w:type="gramEnd"/>
    </w:p>
    <w:p w:rsidR="00C90E57" w:rsidRPr="009F761E" w:rsidRDefault="009F761E" w:rsidP="009F761E">
      <w:pPr>
        <w:spacing w:before="200" w:after="100" w:line="360" w:lineRule="auto"/>
        <w:jc w:val="both"/>
      </w:pPr>
      <w:r w:rsidRPr="009F761E">
        <w:rPr>
          <w:b/>
          <w:bCs/>
        </w:rPr>
        <w:t>Introduction</w:t>
      </w:r>
    </w:p>
    <w:p w:rsidR="00C90E57" w:rsidRDefault="009F761E" w:rsidP="009F761E">
      <w:pPr>
        <w:spacing w:before="160" w:after="160" w:line="360" w:lineRule="auto"/>
        <w:jc w:val="both"/>
      </w:pPr>
      <w:r w:rsidRPr="009F761E">
        <w:t xml:space="preserve">Negotiating a franchise agreement in a region marked by historical distrust requires more than legal precision. It demands a communication approach grounded in ethics, transparency, and mutual respect. The local business group's concerns about fairness and profit sharing are not merely legal objections but signals of deeper anxiety rooted in past exploitation by other multinationals. For the retail chain's legal team, this negotiation is not just about protecting contractual interests. It is about demonstrating, through every interaction and </w:t>
      </w:r>
      <w:proofErr w:type="gramStart"/>
      <w:r w:rsidRPr="009F761E">
        <w:t>commitment, that</w:t>
      </w:r>
      <w:proofErr w:type="gramEnd"/>
      <w:r w:rsidRPr="009F761E">
        <w:t xml:space="preserve"> this company operates differently. Building a reputation for integrity here will determine not </w:t>
      </w:r>
    </w:p>
    <w:p w:rsidR="009F761E" w:rsidRDefault="009F761E" w:rsidP="009F761E">
      <w:pPr>
        <w:spacing w:before="160" w:after="160" w:line="360" w:lineRule="auto"/>
        <w:jc w:val="both"/>
      </w:pPr>
    </w:p>
    <w:p w:rsidR="00A3650C" w:rsidRPr="00A3650C" w:rsidRDefault="00A3650C" w:rsidP="00A3650C">
      <w:pPr>
        <w:shd w:val="clear" w:color="auto" w:fill="FFFFFF"/>
        <w:spacing w:line="276" w:lineRule="auto"/>
        <w:jc w:val="center"/>
        <w:rPr>
          <w:rFonts w:ascii="Arial" w:eastAsia="Calibri" w:hAnsi="Arial"/>
          <w:color w:val="222222"/>
          <w:sz w:val="20"/>
          <w:szCs w:val="20"/>
          <w:lang w:val="en-IN"/>
        </w:rPr>
      </w:pPr>
      <w:proofErr w:type="gramStart"/>
      <w:r w:rsidRPr="00A3650C">
        <w:rPr>
          <w:rFonts w:ascii="Georgia" w:eastAsia="Calibri" w:hAnsi="Georgia"/>
          <w:color w:val="000000"/>
          <w:sz w:val="33"/>
          <w:szCs w:val="33"/>
          <w:highlight w:val="cyan"/>
          <w:shd w:val="clear" w:color="auto" w:fill="FF0000"/>
          <w:lang w:val="en-IN"/>
        </w:rPr>
        <w:t>Its</w:t>
      </w:r>
      <w:proofErr w:type="gramEnd"/>
      <w:r w:rsidRPr="00A3650C">
        <w:rPr>
          <w:rFonts w:ascii="Georgia" w:eastAsia="Calibri" w:hAnsi="Georgia"/>
          <w:color w:val="000000"/>
          <w:sz w:val="33"/>
          <w:szCs w:val="33"/>
          <w:highlight w:val="cyan"/>
          <w:shd w:val="clear" w:color="auto" w:fill="FF0000"/>
          <w:lang w:val="en-IN"/>
        </w:rPr>
        <w:t xml:space="preserve"> Half solved only</w:t>
      </w:r>
    </w:p>
    <w:p w:rsidR="00A3650C" w:rsidRPr="00A3650C" w:rsidRDefault="00A3650C" w:rsidP="00A3650C">
      <w:pPr>
        <w:shd w:val="clear" w:color="auto" w:fill="FFFFFF"/>
        <w:spacing w:before="240" w:after="240" w:line="276" w:lineRule="auto"/>
        <w:jc w:val="center"/>
        <w:rPr>
          <w:rFonts w:ascii="Georgia" w:eastAsia="Calibri" w:hAnsi="Georgia"/>
          <w:sz w:val="40"/>
          <w:szCs w:val="33"/>
          <w:shd w:val="clear" w:color="auto" w:fill="FFFF00"/>
          <w:lang w:val="en-IN"/>
        </w:rPr>
      </w:pPr>
      <w:r w:rsidRPr="00A3650C">
        <w:rPr>
          <w:rFonts w:ascii="Georgia" w:eastAsia="Calibri" w:hAnsi="Georgia"/>
          <w:sz w:val="40"/>
          <w:szCs w:val="33"/>
          <w:shd w:val="clear" w:color="auto" w:fill="FFFF00"/>
          <w:lang w:val="en-IN"/>
        </w:rPr>
        <w:t xml:space="preserve">Buy </w:t>
      </w:r>
      <w:proofErr w:type="gramStart"/>
      <w:r w:rsidRPr="00A3650C">
        <w:rPr>
          <w:rFonts w:ascii="Georgia" w:eastAsia="Calibri" w:hAnsi="Georgia"/>
          <w:sz w:val="40"/>
          <w:szCs w:val="33"/>
          <w:shd w:val="clear" w:color="auto" w:fill="FFFF00"/>
          <w:lang w:val="en-IN"/>
        </w:rPr>
        <w:t>Complete</w:t>
      </w:r>
      <w:proofErr w:type="gramEnd"/>
      <w:r w:rsidRPr="00A3650C">
        <w:rPr>
          <w:rFonts w:ascii="Georgia" w:eastAsia="Calibri" w:hAnsi="Georgia"/>
          <w:sz w:val="40"/>
          <w:szCs w:val="33"/>
          <w:shd w:val="clear" w:color="auto" w:fill="FFFF00"/>
          <w:lang w:val="en-IN"/>
        </w:rPr>
        <w:t xml:space="preserve"> assignment from us</w:t>
      </w:r>
    </w:p>
    <w:p w:rsidR="00A3650C" w:rsidRPr="00A3650C" w:rsidRDefault="00A3650C" w:rsidP="00A3650C">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A3650C">
        <w:rPr>
          <w:rFonts w:ascii="Georgia" w:eastAsia="Calibri" w:hAnsi="Georgia"/>
          <w:b/>
          <w:color w:val="222222"/>
          <w:sz w:val="33"/>
          <w:szCs w:val="33"/>
          <w:shd w:val="clear" w:color="auto" w:fill="FFFF00"/>
          <w:lang w:val="en-IN"/>
        </w:rPr>
        <w:lastRenderedPageBreak/>
        <w:t>Price – 190</w:t>
      </w:r>
      <w:proofErr w:type="gramStart"/>
      <w:r w:rsidRPr="00A3650C">
        <w:rPr>
          <w:rFonts w:ascii="Georgia" w:eastAsia="Calibri" w:hAnsi="Georgia"/>
          <w:b/>
          <w:color w:val="222222"/>
          <w:sz w:val="33"/>
          <w:szCs w:val="33"/>
          <w:shd w:val="clear" w:color="auto" w:fill="FFFF00"/>
          <w:lang w:val="en-IN"/>
        </w:rPr>
        <w:t>/  assignment</w:t>
      </w:r>
      <w:proofErr w:type="gramEnd"/>
    </w:p>
    <w:p w:rsidR="00A3650C" w:rsidRPr="00A3650C" w:rsidRDefault="00A3650C" w:rsidP="00A3650C">
      <w:pPr>
        <w:spacing w:before="240" w:after="240" w:line="276" w:lineRule="auto"/>
        <w:jc w:val="center"/>
        <w:rPr>
          <w:rFonts w:ascii="Georgia" w:eastAsia="Calibri" w:hAnsi="Georgia"/>
          <w:b/>
          <w:bCs/>
          <w:color w:val="FFFFFF"/>
          <w:sz w:val="36"/>
          <w:szCs w:val="36"/>
          <w:shd w:val="clear" w:color="auto" w:fill="FFFF00"/>
          <w:lang w:val="en-IN"/>
        </w:rPr>
      </w:pPr>
      <w:r w:rsidRPr="00A3650C">
        <w:rPr>
          <w:rFonts w:ascii="Georgia" w:eastAsia="Calibri" w:hAnsi="Georgia"/>
          <w:b/>
          <w:sz w:val="40"/>
          <w:szCs w:val="40"/>
          <w:highlight w:val="yellow"/>
          <w:lang w:val="en-IN"/>
        </w:rPr>
        <w:t>NMIMS Online University</w:t>
      </w:r>
      <w:r w:rsidRPr="00A3650C">
        <w:rPr>
          <w:rFonts w:ascii="Georgia" w:eastAsia="Calibri" w:hAnsi="Georgia"/>
          <w:b/>
          <w:color w:val="222222"/>
          <w:sz w:val="33"/>
          <w:szCs w:val="33"/>
          <w:highlight w:val="yellow"/>
          <w:shd w:val="clear" w:color="auto" w:fill="FFFF00"/>
          <w:lang w:val="en-IN"/>
        </w:rPr>
        <w:t xml:space="preserve"> </w:t>
      </w:r>
      <w:r w:rsidRPr="00A3650C">
        <w:rPr>
          <w:rFonts w:ascii="Georgia" w:eastAsia="Calibri" w:hAnsi="Georgia"/>
          <w:b/>
          <w:sz w:val="36"/>
          <w:szCs w:val="36"/>
          <w:lang w:val="en-IN"/>
        </w:rPr>
        <w:t xml:space="preserve">Complete </w:t>
      </w:r>
      <w:proofErr w:type="gramStart"/>
      <w:r w:rsidRPr="00A3650C">
        <w:rPr>
          <w:rFonts w:ascii="Georgia" w:eastAsia="Calibri" w:hAnsi="Georgia"/>
          <w:b/>
          <w:sz w:val="36"/>
          <w:szCs w:val="36"/>
          <w:lang w:val="en-IN"/>
        </w:rPr>
        <w:t>SolvedAssignments</w:t>
      </w:r>
      <w:r w:rsidRPr="00A3650C">
        <w:rPr>
          <w:rFonts w:ascii="Georgia" w:eastAsia="Calibri" w:hAnsi="Georgia"/>
          <w:b/>
          <w:color w:val="FF0000"/>
          <w:sz w:val="36"/>
          <w:szCs w:val="36"/>
          <w:lang w:val="en-IN"/>
        </w:rPr>
        <w:t xml:space="preserve">  </w:t>
      </w:r>
      <w:r w:rsidRPr="00A3650C">
        <w:rPr>
          <w:rFonts w:ascii="Georgia" w:eastAsia="Calibri" w:hAnsi="Georgia"/>
          <w:b/>
          <w:bCs/>
          <w:color w:val="FFFFFF"/>
          <w:sz w:val="36"/>
          <w:szCs w:val="36"/>
          <w:highlight w:val="red"/>
          <w:shd w:val="clear" w:color="auto" w:fill="FFFF00"/>
          <w:lang w:val="en-IN"/>
        </w:rPr>
        <w:t>session</w:t>
      </w:r>
      <w:proofErr w:type="gramEnd"/>
      <w:r w:rsidRPr="00A3650C">
        <w:rPr>
          <w:rFonts w:ascii="Georgia" w:eastAsia="Calibri" w:hAnsi="Georgia"/>
          <w:b/>
          <w:bCs/>
          <w:color w:val="FFFFFF"/>
          <w:sz w:val="36"/>
          <w:szCs w:val="36"/>
          <w:highlight w:val="red"/>
          <w:shd w:val="clear" w:color="auto" w:fill="FFFF00"/>
          <w:lang w:val="en-IN"/>
        </w:rPr>
        <w:t xml:space="preserve"> JUNE  2026</w:t>
      </w:r>
    </w:p>
    <w:p w:rsidR="00A3650C" w:rsidRPr="00A3650C" w:rsidRDefault="00A3650C" w:rsidP="00A3650C">
      <w:pPr>
        <w:spacing w:before="240" w:after="240" w:line="276" w:lineRule="auto"/>
        <w:jc w:val="center"/>
        <w:rPr>
          <w:rFonts w:ascii="Georgia" w:eastAsia="Calibri" w:hAnsi="Georgia"/>
          <w:b/>
          <w:sz w:val="36"/>
          <w:szCs w:val="36"/>
          <w:lang w:val="en-IN"/>
        </w:rPr>
      </w:pPr>
      <w:r w:rsidRPr="00A3650C">
        <w:rPr>
          <w:rFonts w:ascii="Georgia" w:eastAsia="Calibri" w:hAnsi="Georgia"/>
          <w:b/>
          <w:sz w:val="36"/>
          <w:szCs w:val="36"/>
          <w:highlight w:val="cyan"/>
          <w:lang w:val="en-IN"/>
        </w:rPr>
        <w:t>Last date 27 April 2026</w:t>
      </w:r>
    </w:p>
    <w:p w:rsidR="00A3650C" w:rsidRPr="00A3650C" w:rsidRDefault="00A3650C" w:rsidP="00A3650C">
      <w:pPr>
        <w:spacing w:before="240" w:after="240" w:line="276" w:lineRule="auto"/>
        <w:jc w:val="center"/>
        <w:rPr>
          <w:rFonts w:ascii="Georgia" w:eastAsia="Calibri" w:hAnsi="Georgia"/>
          <w:sz w:val="32"/>
          <w:szCs w:val="32"/>
          <w:lang w:val="en-IN"/>
        </w:rPr>
      </w:pPr>
      <w:proofErr w:type="gramStart"/>
      <w:r w:rsidRPr="00A3650C">
        <w:rPr>
          <w:rFonts w:ascii="Georgia" w:eastAsia="Calibri" w:hAnsi="Georgia"/>
          <w:sz w:val="32"/>
          <w:szCs w:val="32"/>
          <w:lang w:val="en-IN"/>
        </w:rPr>
        <w:t>buy</w:t>
      </w:r>
      <w:proofErr w:type="gramEnd"/>
      <w:r w:rsidRPr="00A3650C">
        <w:rPr>
          <w:rFonts w:ascii="Georgia" w:eastAsia="Calibri" w:hAnsi="Georgia"/>
          <w:sz w:val="32"/>
          <w:szCs w:val="32"/>
          <w:lang w:val="en-IN"/>
        </w:rPr>
        <w:t xml:space="preserve"> cheap assignment help online from us easily</w:t>
      </w:r>
    </w:p>
    <w:p w:rsidR="00A3650C" w:rsidRPr="00A3650C" w:rsidRDefault="00A3650C" w:rsidP="00A3650C">
      <w:pPr>
        <w:spacing w:before="240" w:after="240" w:line="276" w:lineRule="auto"/>
        <w:jc w:val="center"/>
        <w:rPr>
          <w:rFonts w:ascii="Georgia" w:eastAsia="Calibri" w:hAnsi="Georgia"/>
          <w:sz w:val="32"/>
          <w:szCs w:val="32"/>
          <w:lang w:val="en-GB"/>
        </w:rPr>
      </w:pPr>
      <w:proofErr w:type="gramStart"/>
      <w:r w:rsidRPr="00A3650C">
        <w:rPr>
          <w:rFonts w:ascii="Georgia" w:eastAsia="Calibri" w:hAnsi="Georgia"/>
          <w:sz w:val="32"/>
          <w:szCs w:val="32"/>
          <w:lang w:val="en-IN"/>
        </w:rPr>
        <w:t>we</w:t>
      </w:r>
      <w:proofErr w:type="gramEnd"/>
      <w:r w:rsidRPr="00A3650C">
        <w:rPr>
          <w:rFonts w:ascii="Georgia" w:eastAsia="Calibri" w:hAnsi="Georgia"/>
          <w:sz w:val="32"/>
          <w:szCs w:val="32"/>
          <w:lang w:val="en-IN"/>
        </w:rPr>
        <w:t xml:space="preserve"> are here to help you with the best and cheap help </w:t>
      </w:r>
    </w:p>
    <w:p w:rsidR="00A3650C" w:rsidRPr="00A3650C" w:rsidRDefault="00A3650C" w:rsidP="00A3650C">
      <w:pPr>
        <w:spacing w:before="240" w:after="240" w:line="276" w:lineRule="auto"/>
        <w:jc w:val="center"/>
        <w:rPr>
          <w:rFonts w:ascii="Georgia" w:eastAsia="Calibri" w:hAnsi="Georgia"/>
          <w:b/>
          <w:sz w:val="44"/>
          <w:szCs w:val="44"/>
          <w:lang w:val="en-IN"/>
        </w:rPr>
      </w:pPr>
      <w:r w:rsidRPr="00A3650C">
        <w:rPr>
          <w:rFonts w:ascii="Georgia" w:eastAsia="Calibri" w:hAnsi="Georgia"/>
          <w:b/>
          <w:sz w:val="36"/>
          <w:szCs w:val="36"/>
          <w:lang w:val="en-IN"/>
        </w:rPr>
        <w:t>Contact No –</w:t>
      </w:r>
      <w:r w:rsidRPr="00A3650C">
        <w:rPr>
          <w:rFonts w:ascii="Georgia" w:eastAsia="Calibri" w:hAnsi="Georgia"/>
          <w:b/>
          <w:sz w:val="44"/>
          <w:szCs w:val="44"/>
          <w:lang w:val="en-IN"/>
        </w:rPr>
        <w:t xml:space="preserve"> </w:t>
      </w:r>
      <w:r w:rsidRPr="00A3650C">
        <w:rPr>
          <w:rFonts w:ascii="Georgia" w:eastAsia="Calibri" w:hAnsi="Georgia"/>
          <w:b/>
          <w:sz w:val="40"/>
          <w:szCs w:val="40"/>
          <w:highlight w:val="yellow"/>
          <w:lang w:val="en-IN"/>
        </w:rPr>
        <w:t>8791514139</w:t>
      </w:r>
      <w:r w:rsidRPr="00A3650C">
        <w:rPr>
          <w:rFonts w:ascii="Georgia" w:eastAsia="Calibri" w:hAnsi="Georgia"/>
          <w:b/>
          <w:sz w:val="40"/>
          <w:szCs w:val="40"/>
          <w:lang w:val="en-IN"/>
        </w:rPr>
        <w:t xml:space="preserve"> (WhatsApp)</w:t>
      </w:r>
    </w:p>
    <w:p w:rsidR="00A3650C" w:rsidRPr="00A3650C" w:rsidRDefault="00A3650C" w:rsidP="00A3650C">
      <w:pPr>
        <w:spacing w:before="240" w:after="240" w:line="276" w:lineRule="auto"/>
        <w:jc w:val="center"/>
        <w:rPr>
          <w:rFonts w:ascii="Georgia" w:eastAsia="Calibri" w:hAnsi="Georgia"/>
          <w:b/>
          <w:sz w:val="32"/>
          <w:szCs w:val="32"/>
          <w:lang w:val="en-IN"/>
        </w:rPr>
      </w:pPr>
      <w:r w:rsidRPr="00A3650C">
        <w:rPr>
          <w:rFonts w:ascii="Georgia" w:eastAsia="Calibri" w:hAnsi="Georgia"/>
          <w:b/>
          <w:sz w:val="32"/>
          <w:szCs w:val="32"/>
          <w:lang w:val="en-IN"/>
        </w:rPr>
        <w:t>OR</w:t>
      </w:r>
    </w:p>
    <w:p w:rsidR="00A3650C" w:rsidRPr="00A3650C" w:rsidRDefault="00A3650C" w:rsidP="00A3650C">
      <w:pPr>
        <w:spacing w:before="240" w:after="240" w:line="276" w:lineRule="auto"/>
        <w:jc w:val="center"/>
        <w:rPr>
          <w:rFonts w:ascii="Georgia" w:eastAsia="Calibri" w:hAnsi="Georgia"/>
          <w:b/>
          <w:sz w:val="32"/>
          <w:szCs w:val="32"/>
          <w:lang w:val="en-IN"/>
        </w:rPr>
      </w:pPr>
      <w:r w:rsidRPr="00A3650C">
        <w:rPr>
          <w:rFonts w:ascii="Georgia" w:eastAsia="Calibri" w:hAnsi="Georgia"/>
          <w:b/>
          <w:sz w:val="32"/>
          <w:szCs w:val="32"/>
          <w:lang w:val="en-IN"/>
        </w:rPr>
        <w:t>Mail us</w:t>
      </w:r>
      <w:proofErr w:type="gramStart"/>
      <w:r w:rsidRPr="00A3650C">
        <w:rPr>
          <w:rFonts w:ascii="Georgia" w:eastAsia="Calibri" w:hAnsi="Georgia"/>
          <w:b/>
          <w:sz w:val="32"/>
          <w:szCs w:val="32"/>
          <w:lang w:val="en-IN"/>
        </w:rPr>
        <w:t xml:space="preserve">-  </w:t>
      </w:r>
      <w:proofErr w:type="gramEnd"/>
      <w:r w:rsidRPr="00A3650C">
        <w:rPr>
          <w:rFonts w:ascii="Calibri" w:eastAsia="Calibri" w:hAnsi="Calibri"/>
          <w:sz w:val="22"/>
          <w:szCs w:val="22"/>
          <w:lang w:val="en-IN"/>
        </w:rPr>
        <w:fldChar w:fldCharType="begin"/>
      </w:r>
      <w:r w:rsidRPr="00A3650C">
        <w:rPr>
          <w:rFonts w:ascii="Calibri" w:eastAsia="Calibri" w:hAnsi="Calibri"/>
          <w:sz w:val="22"/>
          <w:szCs w:val="22"/>
          <w:lang w:val="en-IN"/>
        </w:rPr>
        <w:instrText>HYPERLINK "mailto:bestassignment247@gmail.com"</w:instrText>
      </w:r>
      <w:r w:rsidRPr="00A3650C">
        <w:rPr>
          <w:rFonts w:ascii="Calibri" w:eastAsia="Calibri" w:hAnsi="Calibri"/>
          <w:sz w:val="22"/>
          <w:szCs w:val="22"/>
          <w:lang w:val="en-IN"/>
        </w:rPr>
        <w:fldChar w:fldCharType="separate"/>
      </w:r>
      <w:r w:rsidRPr="00A3650C">
        <w:rPr>
          <w:rFonts w:ascii="Georgia" w:eastAsia="Calibri" w:hAnsi="Georgia"/>
          <w:b/>
          <w:color w:val="0000FF"/>
          <w:sz w:val="32"/>
          <w:szCs w:val="22"/>
          <w:u w:val="single"/>
          <w:lang w:val="en-IN"/>
        </w:rPr>
        <w:t>bestassignment247@gmail.com</w:t>
      </w:r>
      <w:r w:rsidRPr="00A3650C">
        <w:rPr>
          <w:rFonts w:ascii="Calibri" w:eastAsia="Calibri" w:hAnsi="Calibri"/>
          <w:sz w:val="22"/>
          <w:szCs w:val="22"/>
          <w:lang w:val="en-IN"/>
        </w:rPr>
        <w:fldChar w:fldCharType="end"/>
      </w:r>
    </w:p>
    <w:p w:rsidR="00A3650C" w:rsidRPr="00A3650C" w:rsidRDefault="00A3650C" w:rsidP="00A3650C">
      <w:pPr>
        <w:spacing w:after="200" w:line="360" w:lineRule="auto"/>
        <w:jc w:val="center"/>
        <w:rPr>
          <w:rFonts w:eastAsia="Calibri"/>
          <w:sz w:val="22"/>
          <w:szCs w:val="22"/>
          <w:lang w:val="en-IN"/>
        </w:rPr>
      </w:pPr>
      <w:r w:rsidRPr="00A3650C">
        <w:rPr>
          <w:rFonts w:ascii="Georgia" w:eastAsia="Calibri" w:hAnsi="Georgia"/>
          <w:b/>
          <w:sz w:val="32"/>
          <w:szCs w:val="32"/>
          <w:lang w:val="en-IN"/>
        </w:rPr>
        <w:t xml:space="preserve">Our website - </w:t>
      </w:r>
      <w:hyperlink r:id="rId5" w:history="1">
        <w:r w:rsidRPr="00A3650C">
          <w:rPr>
            <w:rFonts w:ascii="Georgia" w:eastAsia="Calibri" w:hAnsi="Georgia"/>
            <w:b/>
            <w:color w:val="0000FF"/>
            <w:sz w:val="32"/>
            <w:u w:val="single"/>
            <w:lang w:val="en-IN"/>
          </w:rPr>
          <w:t>www.assignmentsupport.in</w:t>
        </w:r>
      </w:hyperlink>
    </w:p>
    <w:p w:rsidR="009F761E" w:rsidRPr="009F761E" w:rsidRDefault="009F761E" w:rsidP="009F761E">
      <w:pPr>
        <w:spacing w:before="160" w:after="160" w:line="360" w:lineRule="auto"/>
        <w:jc w:val="both"/>
      </w:pPr>
    </w:p>
    <w:p w:rsidR="00C90E57" w:rsidRPr="009F761E" w:rsidRDefault="009F761E" w:rsidP="009F761E">
      <w:pPr>
        <w:spacing w:before="400" w:after="100" w:line="360" w:lineRule="auto"/>
        <w:jc w:val="both"/>
      </w:pPr>
      <w:proofErr w:type="gramStart"/>
      <w:r w:rsidRPr="009F761E">
        <w:rPr>
          <w:b/>
          <w:bCs/>
        </w:rPr>
        <w:t>Q2 (A).</w:t>
      </w:r>
      <w:proofErr w:type="gramEnd"/>
      <w:r w:rsidRPr="009F761E">
        <w:rPr>
          <w:b/>
          <w:bCs/>
        </w:rPr>
        <w:t xml:space="preserve"> A retail brand recently expanded its digital presence by launching a new website, active social-media pages, and a weekly communication blog. While customer reach has increased, the marketing team struggles to choose the most appropriate digital tool for different purposes such as product updates, customer engagement, and thought-leadership posts. Using your understanding of digital communication tools, explain how TrendAura should apply websites, social media, and blogs appropriately in this situation. Provide suitable examples. (5 Marks)</w:t>
      </w:r>
    </w:p>
    <w:p w:rsidR="00C90E57" w:rsidRPr="009F761E" w:rsidRDefault="009F761E" w:rsidP="009F761E">
      <w:pPr>
        <w:spacing w:before="200" w:after="80" w:line="360" w:lineRule="auto"/>
        <w:jc w:val="both"/>
      </w:pPr>
      <w:proofErr w:type="gramStart"/>
      <w:r w:rsidRPr="009F761E">
        <w:rPr>
          <w:b/>
          <w:bCs/>
        </w:rPr>
        <w:t>Ans 2(A).</w:t>
      </w:r>
      <w:proofErr w:type="gramEnd"/>
    </w:p>
    <w:p w:rsidR="00C90E57" w:rsidRPr="009F761E" w:rsidRDefault="009F761E" w:rsidP="009F761E">
      <w:pPr>
        <w:spacing w:before="200" w:after="100" w:line="360" w:lineRule="auto"/>
        <w:jc w:val="both"/>
      </w:pPr>
      <w:r w:rsidRPr="009F761E">
        <w:rPr>
          <w:b/>
          <w:bCs/>
        </w:rPr>
        <w:t>Introduction</w:t>
      </w:r>
    </w:p>
    <w:p w:rsidR="00C90E57" w:rsidRPr="009F761E" w:rsidRDefault="009F761E" w:rsidP="009F761E">
      <w:pPr>
        <w:spacing w:before="160" w:after="160" w:line="360" w:lineRule="auto"/>
        <w:jc w:val="both"/>
      </w:pPr>
      <w:r w:rsidRPr="009F761E">
        <w:t xml:space="preserve">Each digital communication channel serves a distinct purpose in a brand's communication architecture. Using the wrong tool for the wrong message does not just reduce effectiveness, it actively confuses the audience. TrendAura's challenge is not about reach but about channel </w:t>
      </w:r>
      <w:r w:rsidRPr="009F761E">
        <w:lastRenderedPageBreak/>
        <w:t>alignment. Understanding what websites, social media, and blogs are each designed to do is the starting point for solving this problem.</w:t>
      </w:r>
    </w:p>
    <w:p w:rsidR="00C90E57" w:rsidRPr="009F761E" w:rsidRDefault="009F761E" w:rsidP="009F761E">
      <w:pPr>
        <w:spacing w:before="200" w:after="100" w:line="360" w:lineRule="auto"/>
        <w:jc w:val="both"/>
      </w:pPr>
      <w:r w:rsidRPr="009F761E">
        <w:rPr>
          <w:b/>
          <w:bCs/>
        </w:rPr>
        <w:t>Concept and Application</w:t>
      </w:r>
    </w:p>
    <w:p w:rsidR="00C90E57" w:rsidRDefault="009F761E" w:rsidP="009F761E">
      <w:pPr>
        <w:spacing w:before="160" w:after="160" w:line="360" w:lineRule="auto"/>
        <w:jc w:val="both"/>
      </w:pPr>
      <w:r w:rsidRPr="009F761E">
        <w:t xml:space="preserve">Digital communication tools are not interchangeable. Each one attracts different audience </w:t>
      </w:r>
    </w:p>
    <w:p w:rsidR="009F761E" w:rsidRDefault="009F761E" w:rsidP="009F761E">
      <w:pPr>
        <w:spacing w:before="160" w:after="160" w:line="360" w:lineRule="auto"/>
        <w:jc w:val="both"/>
      </w:pPr>
    </w:p>
    <w:p w:rsidR="009F761E" w:rsidRPr="009F761E" w:rsidRDefault="009F761E" w:rsidP="009F761E">
      <w:pPr>
        <w:spacing w:before="160" w:after="160" w:line="360" w:lineRule="auto"/>
        <w:jc w:val="both"/>
      </w:pPr>
    </w:p>
    <w:p w:rsidR="00C90E57" w:rsidRPr="009F761E" w:rsidRDefault="009F761E" w:rsidP="009F761E">
      <w:pPr>
        <w:spacing w:before="400" w:after="100" w:line="360" w:lineRule="auto"/>
        <w:jc w:val="both"/>
      </w:pPr>
      <w:proofErr w:type="gramStart"/>
      <w:r w:rsidRPr="009F761E">
        <w:rPr>
          <w:b/>
          <w:bCs/>
        </w:rPr>
        <w:t>Q2 (B).</w:t>
      </w:r>
      <w:proofErr w:type="gramEnd"/>
      <w:r w:rsidRPr="009F761E">
        <w:rPr>
          <w:b/>
          <w:bCs/>
        </w:rPr>
        <w:t xml:space="preserve"> During a weekly team briefing, Swati notices that her colleague Arjun often shares incomplete inputs and misses parts of the task brief. He seems to jump to conclusions, interrupts midway, and later forgets essential details. Their manager feels the issue may stem not from capability but from gaps in how Arjun receives, understands, and evaluates information during conversations. Using the stages of listening and principles of active listening, explain how Arjun can apply these skills to improve clarity and accuracy in team discussions. (5 Marks)</w:t>
      </w:r>
    </w:p>
    <w:p w:rsidR="00C90E57" w:rsidRPr="009F761E" w:rsidRDefault="009F761E" w:rsidP="009F761E">
      <w:pPr>
        <w:spacing w:before="200" w:after="80" w:line="360" w:lineRule="auto"/>
        <w:jc w:val="both"/>
      </w:pPr>
      <w:proofErr w:type="gramStart"/>
      <w:r w:rsidRPr="009F761E">
        <w:rPr>
          <w:b/>
          <w:bCs/>
        </w:rPr>
        <w:t>Ans 2(B).</w:t>
      </w:r>
      <w:proofErr w:type="gramEnd"/>
    </w:p>
    <w:p w:rsidR="00C90E57" w:rsidRPr="009F761E" w:rsidRDefault="009F761E" w:rsidP="009F761E">
      <w:pPr>
        <w:spacing w:before="200" w:after="100" w:line="360" w:lineRule="auto"/>
        <w:jc w:val="both"/>
      </w:pPr>
      <w:r w:rsidRPr="009F761E">
        <w:rPr>
          <w:b/>
          <w:bCs/>
        </w:rPr>
        <w:t>Introduction</w:t>
      </w:r>
    </w:p>
    <w:p w:rsidR="00C90E57" w:rsidRPr="009F761E" w:rsidRDefault="009F761E" w:rsidP="009F761E">
      <w:pPr>
        <w:spacing w:before="160" w:after="160" w:line="360" w:lineRule="auto"/>
        <w:jc w:val="both"/>
      </w:pPr>
      <w:r w:rsidRPr="009F761E">
        <w:t>Arjun's pattern of providing incomplete inputs, interrupting speakers, and later missing key details is a textbook case of ineffective listening. The problem is not that he does not hear what is being said but that he processes information at a surface level and acts on partial understanding. Developing active listening skills is the only sustainable solution to what is described here.</w:t>
      </w:r>
    </w:p>
    <w:p w:rsidR="00C90E57" w:rsidRPr="009F761E" w:rsidRDefault="009F761E" w:rsidP="009F761E">
      <w:pPr>
        <w:spacing w:before="200" w:after="100" w:line="360" w:lineRule="auto"/>
        <w:jc w:val="both"/>
      </w:pPr>
      <w:r w:rsidRPr="009F761E">
        <w:rPr>
          <w:b/>
          <w:bCs/>
        </w:rPr>
        <w:t>Concept and Application</w:t>
      </w:r>
    </w:p>
    <w:p w:rsidR="00C90E57" w:rsidRPr="009F761E" w:rsidRDefault="009F761E" w:rsidP="009F761E">
      <w:pPr>
        <w:spacing w:before="160" w:after="160" w:line="360" w:lineRule="auto"/>
        <w:jc w:val="both"/>
      </w:pPr>
      <w:r w:rsidRPr="009F761E">
        <w:t xml:space="preserve">Listening is not a single act but a process that moves through distinct stages. When any stage is </w:t>
      </w:r>
    </w:p>
    <w:sectPr w:rsidR="00C90E57" w:rsidRPr="009F761E" w:rsidSect="009F761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21DFD"/>
    <w:multiLevelType w:val="hybridMultilevel"/>
    <w:tmpl w:val="344A712A"/>
    <w:lvl w:ilvl="0" w:tplc="CAF0CE76">
      <w:start w:val="1"/>
      <w:numFmt w:val="bullet"/>
      <w:lvlText w:val="●"/>
      <w:lvlJc w:val="left"/>
      <w:pPr>
        <w:ind w:left="720" w:hanging="360"/>
      </w:pPr>
    </w:lvl>
    <w:lvl w:ilvl="1" w:tplc="33B892F2">
      <w:start w:val="1"/>
      <w:numFmt w:val="bullet"/>
      <w:lvlText w:val="○"/>
      <w:lvlJc w:val="left"/>
      <w:pPr>
        <w:ind w:left="1440" w:hanging="360"/>
      </w:pPr>
    </w:lvl>
    <w:lvl w:ilvl="2" w:tplc="B3BA91F2">
      <w:start w:val="1"/>
      <w:numFmt w:val="bullet"/>
      <w:lvlText w:val="■"/>
      <w:lvlJc w:val="left"/>
      <w:pPr>
        <w:ind w:left="2160" w:hanging="360"/>
      </w:pPr>
    </w:lvl>
    <w:lvl w:ilvl="3" w:tplc="52D88B8A">
      <w:start w:val="1"/>
      <w:numFmt w:val="bullet"/>
      <w:lvlText w:val="●"/>
      <w:lvlJc w:val="left"/>
      <w:pPr>
        <w:ind w:left="2880" w:hanging="360"/>
      </w:pPr>
    </w:lvl>
    <w:lvl w:ilvl="4" w:tplc="9E1C2176">
      <w:start w:val="1"/>
      <w:numFmt w:val="bullet"/>
      <w:lvlText w:val="○"/>
      <w:lvlJc w:val="left"/>
      <w:pPr>
        <w:ind w:left="3600" w:hanging="360"/>
      </w:pPr>
    </w:lvl>
    <w:lvl w:ilvl="5" w:tplc="FFF0633C">
      <w:start w:val="1"/>
      <w:numFmt w:val="bullet"/>
      <w:lvlText w:val="■"/>
      <w:lvlJc w:val="left"/>
      <w:pPr>
        <w:ind w:left="4320" w:hanging="360"/>
      </w:pPr>
    </w:lvl>
    <w:lvl w:ilvl="6" w:tplc="6F1C04C6">
      <w:start w:val="1"/>
      <w:numFmt w:val="bullet"/>
      <w:lvlText w:val="●"/>
      <w:lvlJc w:val="left"/>
      <w:pPr>
        <w:ind w:left="5040" w:hanging="360"/>
      </w:pPr>
    </w:lvl>
    <w:lvl w:ilvl="7" w:tplc="6C9CFE30">
      <w:start w:val="1"/>
      <w:numFmt w:val="bullet"/>
      <w:lvlText w:val="●"/>
      <w:lvlJc w:val="left"/>
      <w:pPr>
        <w:ind w:left="5760" w:hanging="360"/>
      </w:pPr>
    </w:lvl>
    <w:lvl w:ilvl="8" w:tplc="0E2E5AD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C90E57"/>
    <w:rsid w:val="009070CF"/>
    <w:rsid w:val="009F761E"/>
    <w:rsid w:val="00A3650C"/>
    <w:rsid w:val="00C90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CF"/>
  </w:style>
  <w:style w:type="paragraph" w:styleId="Heading1">
    <w:name w:val="heading 1"/>
    <w:qFormat/>
    <w:rsid w:val="00C90E57"/>
    <w:pPr>
      <w:outlineLvl w:val="0"/>
    </w:pPr>
    <w:rPr>
      <w:color w:val="2E74B5"/>
      <w:sz w:val="32"/>
      <w:szCs w:val="32"/>
    </w:rPr>
  </w:style>
  <w:style w:type="paragraph" w:styleId="Heading2">
    <w:name w:val="heading 2"/>
    <w:qFormat/>
    <w:rsid w:val="00C90E57"/>
    <w:pPr>
      <w:outlineLvl w:val="1"/>
    </w:pPr>
    <w:rPr>
      <w:color w:val="2E74B5"/>
      <w:sz w:val="26"/>
      <w:szCs w:val="26"/>
    </w:rPr>
  </w:style>
  <w:style w:type="paragraph" w:styleId="Heading3">
    <w:name w:val="heading 3"/>
    <w:qFormat/>
    <w:rsid w:val="00C90E57"/>
    <w:pPr>
      <w:outlineLvl w:val="2"/>
    </w:pPr>
    <w:rPr>
      <w:color w:val="1F4D78"/>
    </w:rPr>
  </w:style>
  <w:style w:type="paragraph" w:styleId="Heading4">
    <w:name w:val="heading 4"/>
    <w:qFormat/>
    <w:rsid w:val="00C90E57"/>
    <w:pPr>
      <w:outlineLvl w:val="3"/>
    </w:pPr>
    <w:rPr>
      <w:i/>
      <w:iCs/>
      <w:color w:val="2E74B5"/>
    </w:rPr>
  </w:style>
  <w:style w:type="paragraph" w:styleId="Heading5">
    <w:name w:val="heading 5"/>
    <w:qFormat/>
    <w:rsid w:val="00C90E57"/>
    <w:pPr>
      <w:outlineLvl w:val="4"/>
    </w:pPr>
    <w:rPr>
      <w:color w:val="2E74B5"/>
    </w:rPr>
  </w:style>
  <w:style w:type="paragraph" w:styleId="Heading6">
    <w:name w:val="heading 6"/>
    <w:qFormat/>
    <w:rsid w:val="00C90E57"/>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90E57"/>
    <w:rPr>
      <w:sz w:val="56"/>
      <w:szCs w:val="56"/>
    </w:rPr>
  </w:style>
  <w:style w:type="paragraph" w:customStyle="1" w:styleId="Strong1">
    <w:name w:val="Strong1"/>
    <w:qFormat/>
    <w:rsid w:val="00C90E57"/>
    <w:rPr>
      <w:b/>
      <w:bCs/>
    </w:rPr>
  </w:style>
  <w:style w:type="paragraph" w:styleId="ListParagraph">
    <w:name w:val="List Paragraph"/>
    <w:qFormat/>
    <w:rsid w:val="00C90E57"/>
  </w:style>
  <w:style w:type="character" w:styleId="Hyperlink">
    <w:name w:val="Hyperlink"/>
    <w:uiPriority w:val="99"/>
    <w:unhideWhenUsed/>
    <w:rsid w:val="00C90E57"/>
    <w:rPr>
      <w:color w:val="0563C1"/>
      <w:u w:val="single"/>
    </w:rPr>
  </w:style>
  <w:style w:type="character" w:styleId="FootnoteReference">
    <w:name w:val="footnote reference"/>
    <w:uiPriority w:val="99"/>
    <w:semiHidden/>
    <w:unhideWhenUsed/>
    <w:rsid w:val="00C90E57"/>
    <w:rPr>
      <w:vertAlign w:val="superscript"/>
    </w:rPr>
  </w:style>
  <w:style w:type="paragraph" w:styleId="FootnoteText">
    <w:name w:val="footnote text"/>
    <w:link w:val="FootnoteTextChar"/>
    <w:uiPriority w:val="99"/>
    <w:semiHidden/>
    <w:unhideWhenUsed/>
    <w:rsid w:val="00C90E57"/>
    <w:rPr>
      <w:sz w:val="20"/>
      <w:szCs w:val="20"/>
    </w:rPr>
  </w:style>
  <w:style w:type="character" w:customStyle="1" w:styleId="FootnoteTextChar">
    <w:name w:val="Footnote Text Char"/>
    <w:link w:val="FootnoteText"/>
    <w:uiPriority w:val="99"/>
    <w:semiHidden/>
    <w:unhideWhenUsed/>
    <w:rsid w:val="00C90E57"/>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2026-03-27T17:55:00Z</dcterms:created>
  <dcterms:modified xsi:type="dcterms:W3CDTF">2026-03-29T23:02:00Z</dcterms:modified>
</cp:coreProperties>
</file>