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28" w:type="pct"/>
        <w:tblCellMar>
          <w:left w:w="0" w:type="dxa"/>
          <w:right w:w="0" w:type="dxa"/>
        </w:tblCellMar>
        <w:tblLook w:val="0000" w:firstRow="0" w:lastRow="0" w:firstColumn="0" w:lastColumn="0" w:noHBand="0" w:noVBand="0"/>
      </w:tblPr>
      <w:tblGrid>
        <w:gridCol w:w="3056"/>
        <w:gridCol w:w="6205"/>
      </w:tblGrid>
      <w:tr w:rsidR="003E35AE" w:rsidRPr="003E35AE" w:rsidTr="00285C53">
        <w:trPr>
          <w:trHeight w:hRule="exact" w:val="345"/>
        </w:trPr>
        <w:tc>
          <w:tcPr>
            <w:tcW w:w="1650" w:type="pct"/>
            <w:tcBorders>
              <w:top w:val="single" w:sz="4" w:space="0" w:color="000000"/>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r w:rsidRPr="003E35AE">
              <w:rPr>
                <w:rFonts w:ascii="Times New Roman" w:hAnsi="Times New Roman"/>
                <w:b/>
                <w:sz w:val="24"/>
                <w:szCs w:val="24"/>
              </w:rPr>
              <w:t>SESSION</w:t>
            </w:r>
          </w:p>
        </w:tc>
        <w:tc>
          <w:tcPr>
            <w:tcW w:w="3350" w:type="pct"/>
            <w:tcBorders>
              <w:top w:val="single" w:sz="4" w:space="0" w:color="000000"/>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r w:rsidRPr="003E35AE">
              <w:rPr>
                <w:rFonts w:ascii="Times New Roman" w:hAnsi="Times New Roman"/>
                <w:b/>
                <w:sz w:val="24"/>
                <w:szCs w:val="24"/>
              </w:rPr>
              <w:t>JUL - AUG 2024</w:t>
            </w:r>
          </w:p>
        </w:tc>
      </w:tr>
      <w:tr w:rsidR="003E35AE" w:rsidRPr="003E35AE" w:rsidTr="00285C53">
        <w:trPr>
          <w:trHeight w:hRule="exact" w:val="348"/>
        </w:trPr>
        <w:tc>
          <w:tcPr>
            <w:tcW w:w="1650" w:type="pct"/>
            <w:tcBorders>
              <w:top w:val="single" w:sz="4" w:space="0" w:color="000000"/>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r w:rsidRPr="003E35AE">
              <w:rPr>
                <w:rFonts w:ascii="Times New Roman" w:hAnsi="Times New Roman"/>
                <w:b/>
                <w:sz w:val="24"/>
                <w:szCs w:val="24"/>
              </w:rPr>
              <w:t>PROGRAM</w:t>
            </w:r>
          </w:p>
        </w:tc>
        <w:tc>
          <w:tcPr>
            <w:tcW w:w="3350" w:type="pct"/>
            <w:tcBorders>
              <w:top w:val="single" w:sz="4" w:space="0" w:color="000000"/>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r w:rsidRPr="003E35AE">
              <w:rPr>
                <w:rFonts w:ascii="Times New Roman" w:hAnsi="Times New Roman"/>
                <w:b/>
                <w:sz w:val="24"/>
                <w:szCs w:val="24"/>
              </w:rPr>
              <w:t>MASTER OF COMMERCE (M.COM)</w:t>
            </w:r>
          </w:p>
        </w:tc>
      </w:tr>
      <w:tr w:rsidR="003E35AE" w:rsidRPr="003E35AE" w:rsidTr="00285C53">
        <w:trPr>
          <w:trHeight w:hRule="exact" w:val="345"/>
        </w:trPr>
        <w:tc>
          <w:tcPr>
            <w:tcW w:w="1650" w:type="pct"/>
            <w:tcBorders>
              <w:top w:val="single" w:sz="4" w:space="0" w:color="000000"/>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r w:rsidRPr="003E35AE">
              <w:rPr>
                <w:rFonts w:ascii="Times New Roman" w:hAnsi="Times New Roman"/>
                <w:b/>
                <w:sz w:val="24"/>
                <w:szCs w:val="24"/>
              </w:rPr>
              <w:t>SEMESTER</w:t>
            </w:r>
          </w:p>
        </w:tc>
        <w:tc>
          <w:tcPr>
            <w:tcW w:w="3350" w:type="pct"/>
            <w:tcBorders>
              <w:top w:val="single" w:sz="4" w:space="0" w:color="000000"/>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r w:rsidRPr="003E35AE">
              <w:rPr>
                <w:rFonts w:ascii="Times New Roman" w:hAnsi="Times New Roman"/>
                <w:b/>
                <w:sz w:val="24"/>
                <w:szCs w:val="24"/>
              </w:rPr>
              <w:t>III</w:t>
            </w:r>
          </w:p>
        </w:tc>
      </w:tr>
      <w:tr w:rsidR="003E35AE" w:rsidRPr="003E35AE" w:rsidTr="00285C53">
        <w:trPr>
          <w:trHeight w:val="677"/>
        </w:trPr>
        <w:tc>
          <w:tcPr>
            <w:tcW w:w="1650" w:type="pct"/>
            <w:tcBorders>
              <w:top w:val="single" w:sz="4" w:space="0" w:color="000000"/>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r w:rsidRPr="003E35AE">
              <w:rPr>
                <w:rFonts w:ascii="Times New Roman" w:hAnsi="Times New Roman"/>
                <w:b/>
                <w:sz w:val="24"/>
                <w:szCs w:val="24"/>
              </w:rPr>
              <w:t>COURSE CODE &amp; NAME</w:t>
            </w:r>
          </w:p>
        </w:tc>
        <w:tc>
          <w:tcPr>
            <w:tcW w:w="3350" w:type="pct"/>
            <w:tcBorders>
              <w:top w:val="single" w:sz="4" w:space="0" w:color="000000"/>
              <w:left w:val="single" w:sz="4" w:space="0" w:color="000000"/>
              <w:right w:val="single" w:sz="4" w:space="0" w:color="000000"/>
            </w:tcBorders>
          </w:tcPr>
          <w:p w:rsidR="003E35AE" w:rsidRPr="003E35AE" w:rsidRDefault="003E35AE" w:rsidP="00285C53">
            <w:pPr>
              <w:spacing w:after="0" w:line="240" w:lineRule="auto"/>
              <w:rPr>
                <w:rFonts w:ascii="Times New Roman" w:hAnsi="Times New Roman"/>
                <w:b/>
                <w:sz w:val="24"/>
                <w:szCs w:val="24"/>
              </w:rPr>
            </w:pPr>
            <w:r w:rsidRPr="003E35AE">
              <w:rPr>
                <w:rFonts w:ascii="Times New Roman" w:hAnsi="Times New Roman"/>
                <w:b/>
                <w:sz w:val="24"/>
                <w:szCs w:val="24"/>
              </w:rPr>
              <w:t>DCM7105 SECURITY ANALYSIS AND PORTFOLIO MANAGEMENT</w:t>
            </w:r>
            <w:r w:rsidRPr="003E35AE">
              <w:rPr>
                <w:rFonts w:ascii="Times New Roman" w:hAnsi="Times New Roman"/>
                <w:b/>
                <w:sz w:val="24"/>
                <w:szCs w:val="24"/>
              </w:rPr>
              <w:tab/>
            </w:r>
          </w:p>
          <w:p w:rsidR="003E35AE" w:rsidRPr="003E35AE" w:rsidRDefault="003E35AE" w:rsidP="00285C53">
            <w:pPr>
              <w:spacing w:after="0" w:line="240" w:lineRule="auto"/>
              <w:rPr>
                <w:rFonts w:ascii="Times New Roman" w:hAnsi="Times New Roman"/>
                <w:sz w:val="24"/>
                <w:szCs w:val="24"/>
              </w:rPr>
            </w:pPr>
          </w:p>
        </w:tc>
      </w:tr>
      <w:tr w:rsidR="003E35AE" w:rsidRPr="003E35AE" w:rsidTr="00285C53">
        <w:trPr>
          <w:trHeight w:hRule="exact" w:val="345"/>
        </w:trPr>
        <w:tc>
          <w:tcPr>
            <w:tcW w:w="1650" w:type="pct"/>
            <w:tcBorders>
              <w:top w:val="single" w:sz="4" w:space="0" w:color="000000"/>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p>
        </w:tc>
        <w:tc>
          <w:tcPr>
            <w:tcW w:w="3350" w:type="pct"/>
            <w:tcBorders>
              <w:top w:val="single" w:sz="4" w:space="0" w:color="000000"/>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p>
        </w:tc>
      </w:tr>
      <w:tr w:rsidR="003E35AE" w:rsidRPr="003E35AE" w:rsidTr="00285C53">
        <w:trPr>
          <w:trHeight w:hRule="exact" w:val="326"/>
        </w:trPr>
        <w:tc>
          <w:tcPr>
            <w:tcW w:w="1650" w:type="pct"/>
            <w:tcBorders>
              <w:top w:val="single" w:sz="4" w:space="0" w:color="000000"/>
              <w:left w:val="single" w:sz="4" w:space="0" w:color="000000"/>
              <w:bottom w:val="nil"/>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p>
        </w:tc>
        <w:tc>
          <w:tcPr>
            <w:tcW w:w="3350" w:type="pct"/>
            <w:tcBorders>
              <w:top w:val="single" w:sz="4" w:space="0" w:color="000000"/>
              <w:left w:val="single" w:sz="4" w:space="0" w:color="000000"/>
              <w:bottom w:val="nil"/>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p>
        </w:tc>
      </w:tr>
      <w:tr w:rsidR="003E35AE" w:rsidRPr="003E35AE" w:rsidTr="00285C53">
        <w:trPr>
          <w:trHeight w:hRule="exact" w:val="356"/>
        </w:trPr>
        <w:tc>
          <w:tcPr>
            <w:tcW w:w="1650" w:type="pct"/>
            <w:tcBorders>
              <w:top w:val="nil"/>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p>
        </w:tc>
        <w:tc>
          <w:tcPr>
            <w:tcW w:w="3350" w:type="pct"/>
            <w:tcBorders>
              <w:top w:val="nil"/>
              <w:left w:val="single" w:sz="4" w:space="0" w:color="000000"/>
              <w:bottom w:val="single" w:sz="4" w:space="0" w:color="000000"/>
              <w:right w:val="single" w:sz="4" w:space="0" w:color="000000"/>
            </w:tcBorders>
          </w:tcPr>
          <w:p w:rsidR="003E35AE" w:rsidRPr="003E35AE" w:rsidRDefault="003E35AE" w:rsidP="00285C53">
            <w:pPr>
              <w:spacing w:after="0" w:line="240" w:lineRule="auto"/>
              <w:jc w:val="both"/>
              <w:rPr>
                <w:rFonts w:ascii="Times New Roman" w:hAnsi="Times New Roman"/>
                <w:b/>
                <w:sz w:val="24"/>
                <w:szCs w:val="24"/>
              </w:rPr>
            </w:pPr>
          </w:p>
        </w:tc>
      </w:tr>
    </w:tbl>
    <w:p w:rsidR="003E35AE" w:rsidRPr="003E35AE" w:rsidRDefault="003E35AE" w:rsidP="00285C53">
      <w:pPr>
        <w:spacing w:line="240" w:lineRule="auto"/>
        <w:jc w:val="both"/>
        <w:rPr>
          <w:rFonts w:ascii="Times New Roman" w:hAnsi="Times New Roman"/>
          <w:b/>
          <w:sz w:val="24"/>
          <w:szCs w:val="24"/>
        </w:rPr>
      </w:pPr>
    </w:p>
    <w:p w:rsidR="003E35AE" w:rsidRPr="003E35AE" w:rsidRDefault="003E35AE" w:rsidP="00285C53">
      <w:pPr>
        <w:spacing w:line="240" w:lineRule="auto"/>
        <w:jc w:val="center"/>
        <w:rPr>
          <w:rFonts w:ascii="Times New Roman" w:hAnsi="Times New Roman"/>
          <w:b/>
          <w:sz w:val="24"/>
          <w:szCs w:val="24"/>
        </w:rPr>
      </w:pPr>
      <w:r w:rsidRPr="003E35AE">
        <w:rPr>
          <w:rFonts w:ascii="Times New Roman" w:hAnsi="Times New Roman"/>
          <w:b/>
          <w:sz w:val="24"/>
          <w:szCs w:val="24"/>
        </w:rPr>
        <w:t>Assignment Set – 1</w:t>
      </w:r>
    </w:p>
    <w:p w:rsidR="003E35AE" w:rsidRPr="003E35AE" w:rsidRDefault="003E35AE" w:rsidP="00285C53">
      <w:pPr>
        <w:spacing w:line="240" w:lineRule="auto"/>
        <w:jc w:val="both"/>
        <w:rPr>
          <w:rFonts w:ascii="Times New Roman" w:hAnsi="Times New Roman"/>
          <w:b/>
          <w:sz w:val="24"/>
          <w:szCs w:val="24"/>
        </w:rPr>
      </w:pPr>
    </w:p>
    <w:p w:rsidR="003E35AE" w:rsidRPr="003E35AE" w:rsidRDefault="003E35AE" w:rsidP="00285C53">
      <w:pPr>
        <w:spacing w:line="240" w:lineRule="auto"/>
        <w:jc w:val="both"/>
        <w:rPr>
          <w:rFonts w:ascii="Times New Roman" w:hAnsi="Times New Roman"/>
          <w:b/>
          <w:sz w:val="24"/>
          <w:szCs w:val="24"/>
        </w:rPr>
      </w:pPr>
    </w:p>
    <w:p w:rsidR="003E35AE" w:rsidRPr="003E35AE" w:rsidRDefault="003E35AE" w:rsidP="00285C53">
      <w:pPr>
        <w:spacing w:line="240" w:lineRule="auto"/>
        <w:jc w:val="both"/>
        <w:rPr>
          <w:rFonts w:ascii="Times New Roman" w:hAnsi="Times New Roman"/>
          <w:b/>
          <w:sz w:val="24"/>
          <w:szCs w:val="24"/>
        </w:rPr>
      </w:pPr>
      <w:r w:rsidRPr="003E35AE">
        <w:rPr>
          <w:rFonts w:ascii="Times New Roman" w:hAnsi="Times New Roman"/>
          <w:b/>
          <w:sz w:val="24"/>
          <w:szCs w:val="24"/>
        </w:rPr>
        <w:t>1. Global Energy Corp. provides the following expected returns and probabilities for five states of the economy:</w:t>
      </w:r>
    </w:p>
    <w:p w:rsidR="003E35AE" w:rsidRPr="003E35AE" w:rsidRDefault="003E35AE" w:rsidP="00285C53">
      <w:pPr>
        <w:spacing w:line="240" w:lineRule="auto"/>
        <w:jc w:val="both"/>
        <w:rPr>
          <w:rFonts w:ascii="Times New Roman" w:hAnsi="Times New Roman"/>
          <w:b/>
          <w:sz w:val="24"/>
          <w:szCs w:val="24"/>
        </w:rPr>
      </w:pPr>
      <w:r w:rsidRPr="003E35AE">
        <w:rPr>
          <w:rFonts w:ascii="Times New Roman" w:hAnsi="Times New Roman"/>
          <w:b/>
          <w:sz w:val="24"/>
          <w:szCs w:val="24"/>
        </w:rPr>
        <w:t>•   State P: Probability = 0.15, Return = 5%</w:t>
      </w:r>
    </w:p>
    <w:p w:rsidR="003E35AE" w:rsidRPr="003E35AE" w:rsidRDefault="003E35AE" w:rsidP="00285C53">
      <w:pPr>
        <w:spacing w:line="240" w:lineRule="auto"/>
        <w:jc w:val="both"/>
        <w:rPr>
          <w:rFonts w:ascii="Times New Roman" w:hAnsi="Times New Roman"/>
          <w:b/>
          <w:sz w:val="24"/>
          <w:szCs w:val="24"/>
        </w:rPr>
      </w:pPr>
      <w:r w:rsidRPr="003E35AE">
        <w:rPr>
          <w:rFonts w:ascii="Times New Roman" w:hAnsi="Times New Roman"/>
          <w:b/>
          <w:sz w:val="24"/>
          <w:szCs w:val="24"/>
        </w:rPr>
        <w:t>•   State Q: Probability = 0.25, Return = 15%</w:t>
      </w:r>
    </w:p>
    <w:p w:rsidR="003E35AE" w:rsidRPr="003E35AE" w:rsidRDefault="003E35AE" w:rsidP="00285C53">
      <w:pPr>
        <w:spacing w:line="240" w:lineRule="auto"/>
        <w:jc w:val="both"/>
        <w:rPr>
          <w:rFonts w:ascii="Times New Roman" w:hAnsi="Times New Roman"/>
          <w:b/>
          <w:sz w:val="24"/>
          <w:szCs w:val="24"/>
        </w:rPr>
      </w:pPr>
      <w:r w:rsidRPr="003E35AE">
        <w:rPr>
          <w:rFonts w:ascii="Times New Roman" w:hAnsi="Times New Roman"/>
          <w:b/>
          <w:sz w:val="24"/>
          <w:szCs w:val="24"/>
        </w:rPr>
        <w:t>•   State R: Probability = 0.3, Return = 10%</w:t>
      </w:r>
    </w:p>
    <w:p w:rsidR="003E35AE" w:rsidRPr="003E35AE" w:rsidRDefault="003E35AE" w:rsidP="00285C53">
      <w:pPr>
        <w:spacing w:line="240" w:lineRule="auto"/>
        <w:jc w:val="both"/>
        <w:rPr>
          <w:rFonts w:ascii="Times New Roman" w:hAnsi="Times New Roman"/>
          <w:b/>
          <w:sz w:val="24"/>
          <w:szCs w:val="24"/>
        </w:rPr>
      </w:pPr>
      <w:r w:rsidRPr="003E35AE">
        <w:rPr>
          <w:rFonts w:ascii="Times New Roman" w:hAnsi="Times New Roman"/>
          <w:b/>
          <w:sz w:val="24"/>
          <w:szCs w:val="24"/>
        </w:rPr>
        <w:t>•   State S: Probability = 0.2, Return = 8%</w:t>
      </w:r>
    </w:p>
    <w:p w:rsidR="003E35AE" w:rsidRPr="003E35AE" w:rsidRDefault="003E35AE" w:rsidP="00285C53">
      <w:pPr>
        <w:spacing w:line="240" w:lineRule="auto"/>
        <w:jc w:val="both"/>
        <w:rPr>
          <w:rFonts w:ascii="Times New Roman" w:hAnsi="Times New Roman"/>
          <w:sz w:val="24"/>
          <w:szCs w:val="24"/>
        </w:rPr>
      </w:pPr>
      <w:r w:rsidRPr="003E35AE">
        <w:rPr>
          <w:rFonts w:ascii="Times New Roman" w:hAnsi="Times New Roman"/>
          <w:b/>
          <w:sz w:val="24"/>
          <w:szCs w:val="24"/>
        </w:rPr>
        <w:t>•   State T: Probability = 0.1, Return = 20% Calculate the average expected return and risk.</w:t>
      </w:r>
      <w:r w:rsidRPr="003E35AE">
        <w:rPr>
          <w:rFonts w:ascii="Times New Roman" w:hAnsi="Times New Roman"/>
          <w:sz w:val="24"/>
          <w:szCs w:val="24"/>
        </w:rPr>
        <w:tab/>
      </w:r>
    </w:p>
    <w:p w:rsidR="003E35AE" w:rsidRPr="003E35AE" w:rsidRDefault="003E35AE" w:rsidP="00285C53">
      <w:pPr>
        <w:pStyle w:val="Heading3"/>
        <w:jc w:val="both"/>
        <w:rPr>
          <w:rFonts w:cs="Times New Roman"/>
          <w:b/>
          <w:bCs/>
          <w:color w:val="auto"/>
          <w:sz w:val="24"/>
          <w:szCs w:val="24"/>
        </w:rPr>
      </w:pPr>
      <w:bookmarkStart w:id="0" w:name="X3829cd4ec3170c8c1e38834bcdd1c7cd7dedb4d"/>
      <w:r w:rsidRPr="003E35AE">
        <w:rPr>
          <w:rFonts w:cs="Times New Roman"/>
          <w:b/>
          <w:bCs/>
          <w:color w:val="auto"/>
          <w:sz w:val="24"/>
          <w:szCs w:val="24"/>
        </w:rPr>
        <w:t>Ans 1.</w:t>
      </w:r>
    </w:p>
    <w:p w:rsidR="003E35AE" w:rsidRPr="003E35AE" w:rsidRDefault="003E35AE" w:rsidP="00285C53">
      <w:pPr>
        <w:pStyle w:val="Heading3"/>
        <w:jc w:val="both"/>
        <w:rPr>
          <w:rFonts w:cs="Times New Roman"/>
          <w:color w:val="auto"/>
          <w:sz w:val="24"/>
          <w:szCs w:val="24"/>
        </w:rPr>
      </w:pPr>
      <w:r w:rsidRPr="003E35AE">
        <w:rPr>
          <w:rFonts w:cs="Times New Roman"/>
          <w:b/>
          <w:bCs/>
          <w:color w:val="auto"/>
          <w:sz w:val="24"/>
          <w:szCs w:val="24"/>
        </w:rPr>
        <w:t>Expected Return and Risk Calculation for Global Energy Corp.</w:t>
      </w:r>
    </w:p>
    <w:p w:rsidR="003E35AE" w:rsidRPr="003E35AE" w:rsidRDefault="003E35AE" w:rsidP="00285C53">
      <w:pPr>
        <w:pStyle w:val="FirstParagraph"/>
        <w:jc w:val="both"/>
        <w:rPr>
          <w:rFonts w:cs="Times New Roman"/>
        </w:rPr>
      </w:pPr>
      <w:r w:rsidRPr="003E35AE">
        <w:rPr>
          <w:rFonts w:cs="Times New Roman"/>
        </w:rPr>
        <w:t xml:space="preserve">Security analysis and portfolio management involve evaluating risk and return for different investment opportunities. One of the key methods used to determine the performance of a stock or portfolio is by calculating the </w:t>
      </w:r>
      <w:r w:rsidRPr="003E35AE">
        <w:rPr>
          <w:rFonts w:cs="Times New Roman"/>
          <w:b/>
          <w:bCs/>
        </w:rPr>
        <w:t>expected return</w:t>
      </w:r>
      <w:r w:rsidRPr="003E35AE">
        <w:rPr>
          <w:rFonts w:cs="Times New Roman"/>
        </w:rPr>
        <w:t xml:space="preserve"> and </w:t>
      </w:r>
      <w:r w:rsidRPr="003E35AE">
        <w:rPr>
          <w:rFonts w:cs="Times New Roman"/>
          <w:b/>
          <w:bCs/>
        </w:rPr>
        <w:t>risk (standard deviation)</w:t>
      </w:r>
      <w:r w:rsidRPr="003E35AE">
        <w:rPr>
          <w:rFonts w:cs="Times New Roman"/>
        </w:rPr>
        <w:t xml:space="preserve"> based on different possible economic conditions.</w:t>
      </w:r>
    </w:p>
    <w:p w:rsidR="003E35AE" w:rsidRPr="003E35AE" w:rsidRDefault="003E35AE" w:rsidP="00285C53">
      <w:pPr>
        <w:pStyle w:val="BodyText"/>
        <w:jc w:val="both"/>
        <w:rPr>
          <w:rFonts w:cs="Times New Roman"/>
        </w:rPr>
      </w:pPr>
      <w:r w:rsidRPr="003E35AE">
        <w:rPr>
          <w:rFonts w:cs="Times New Roman"/>
        </w:rPr>
        <w:t>In this case, Global Energy Corp. operates in five different states of the economy, each with a given probability and expected return. The data provided is as follows:</w:t>
      </w:r>
    </w:p>
    <w:tbl>
      <w:tblPr>
        <w:tblStyle w:val="Table"/>
        <w:tblW w:w="5000" w:type="pct"/>
        <w:tblLook w:val="0020" w:firstRow="1" w:lastRow="0" w:firstColumn="0" w:lastColumn="0" w:noHBand="0" w:noVBand="0"/>
      </w:tblPr>
      <w:tblGrid>
        <w:gridCol w:w="1552"/>
        <w:gridCol w:w="3676"/>
        <w:gridCol w:w="3802"/>
      </w:tblGrid>
      <w:tr w:rsidR="003E35AE" w:rsidRPr="003E35AE" w:rsidTr="009B5BD4">
        <w:trPr>
          <w:cnfStyle w:val="100000000000" w:firstRow="1" w:lastRow="0" w:firstColumn="0" w:lastColumn="0" w:oddVBand="0" w:evenVBand="0" w:oddHBand="0" w:evenHBand="0" w:firstRowFirstColumn="0" w:firstRowLastColumn="0" w:lastRowFirstColumn="0" w:lastRowLastColumn="0"/>
          <w:tblHeader/>
        </w:trPr>
        <w:tc>
          <w:tcPr>
            <w:tcW w:w="859" w:type="pct"/>
          </w:tcPr>
          <w:p w:rsidR="003E35AE" w:rsidRPr="003E35AE" w:rsidRDefault="003E35AE" w:rsidP="00285C53">
            <w:pPr>
              <w:pStyle w:val="Compact"/>
              <w:jc w:val="both"/>
              <w:rPr>
                <w:rFonts w:cs="Times New Roman"/>
              </w:rPr>
            </w:pPr>
            <w:r w:rsidRPr="003E35AE">
              <w:rPr>
                <w:rFonts w:cs="Times New Roman"/>
                <w:b/>
                <w:bCs/>
              </w:rPr>
              <w:t>State</w:t>
            </w:r>
          </w:p>
        </w:tc>
        <w:tc>
          <w:tcPr>
            <w:tcW w:w="2035" w:type="pct"/>
          </w:tcPr>
          <w:p w:rsidR="003E35AE" w:rsidRPr="003E35AE" w:rsidRDefault="003E35AE" w:rsidP="00285C53">
            <w:pPr>
              <w:pStyle w:val="Compact"/>
              <w:jc w:val="both"/>
              <w:rPr>
                <w:rFonts w:cs="Times New Roman"/>
              </w:rPr>
            </w:pPr>
            <w:r w:rsidRPr="003E35AE">
              <w:rPr>
                <w:rFonts w:cs="Times New Roman"/>
                <w:b/>
                <w:bCs/>
              </w:rPr>
              <w:t>Probability (P)</w:t>
            </w:r>
          </w:p>
        </w:tc>
        <w:tc>
          <w:tcPr>
            <w:tcW w:w="2105" w:type="pct"/>
          </w:tcPr>
          <w:p w:rsidR="003E35AE" w:rsidRPr="003E35AE" w:rsidRDefault="003E35AE" w:rsidP="00285C53">
            <w:pPr>
              <w:pStyle w:val="Compact"/>
              <w:jc w:val="both"/>
              <w:rPr>
                <w:rFonts w:cs="Times New Roman"/>
              </w:rPr>
            </w:pPr>
            <w:r w:rsidRPr="003E35AE">
              <w:rPr>
                <w:rFonts w:cs="Times New Roman"/>
                <w:b/>
                <w:bCs/>
              </w:rPr>
              <w:t>Return (%) (R)</w:t>
            </w:r>
          </w:p>
        </w:tc>
      </w:tr>
      <w:tr w:rsidR="003E35AE" w:rsidRPr="003E35AE" w:rsidTr="009B5BD4">
        <w:tc>
          <w:tcPr>
            <w:tcW w:w="859" w:type="pct"/>
          </w:tcPr>
          <w:p w:rsidR="003E35AE" w:rsidRPr="003E35AE" w:rsidRDefault="003E35AE" w:rsidP="00285C53">
            <w:pPr>
              <w:pStyle w:val="Compact"/>
              <w:jc w:val="both"/>
              <w:rPr>
                <w:rFonts w:cs="Times New Roman"/>
              </w:rPr>
            </w:pPr>
            <w:r w:rsidRPr="003E35AE">
              <w:rPr>
                <w:rFonts w:cs="Times New Roman"/>
              </w:rPr>
              <w:t>P</w:t>
            </w:r>
          </w:p>
        </w:tc>
        <w:tc>
          <w:tcPr>
            <w:tcW w:w="2035" w:type="pct"/>
          </w:tcPr>
          <w:p w:rsidR="003E35AE" w:rsidRPr="003E35AE" w:rsidRDefault="003E35AE" w:rsidP="00285C53">
            <w:pPr>
              <w:pStyle w:val="Compact"/>
              <w:jc w:val="both"/>
              <w:rPr>
                <w:rFonts w:cs="Times New Roman"/>
              </w:rPr>
            </w:pPr>
            <w:r w:rsidRPr="003E35AE">
              <w:rPr>
                <w:rFonts w:cs="Times New Roman"/>
              </w:rPr>
              <w:t>0.15</w:t>
            </w:r>
          </w:p>
        </w:tc>
        <w:tc>
          <w:tcPr>
            <w:tcW w:w="2105" w:type="pct"/>
          </w:tcPr>
          <w:p w:rsidR="003E35AE" w:rsidRPr="003E35AE" w:rsidRDefault="003E35AE" w:rsidP="00285C53">
            <w:pPr>
              <w:pStyle w:val="Compact"/>
              <w:jc w:val="both"/>
              <w:rPr>
                <w:rFonts w:cs="Times New Roman"/>
              </w:rPr>
            </w:pPr>
            <w:r w:rsidRPr="003E35AE">
              <w:rPr>
                <w:rFonts w:cs="Times New Roman"/>
              </w:rPr>
              <w:t>5%</w:t>
            </w:r>
          </w:p>
        </w:tc>
      </w:tr>
      <w:tr w:rsidR="003E35AE" w:rsidRPr="003E35AE" w:rsidTr="009B5BD4">
        <w:tc>
          <w:tcPr>
            <w:tcW w:w="859" w:type="pct"/>
          </w:tcPr>
          <w:p w:rsidR="003E35AE" w:rsidRPr="003E35AE" w:rsidRDefault="003E35AE" w:rsidP="00285C53">
            <w:pPr>
              <w:pStyle w:val="Compact"/>
              <w:jc w:val="both"/>
              <w:rPr>
                <w:rFonts w:cs="Times New Roman"/>
              </w:rPr>
            </w:pPr>
            <w:r w:rsidRPr="003E35AE">
              <w:rPr>
                <w:rFonts w:cs="Times New Roman"/>
              </w:rPr>
              <w:t>Q</w:t>
            </w:r>
          </w:p>
        </w:tc>
        <w:tc>
          <w:tcPr>
            <w:tcW w:w="2035" w:type="pct"/>
          </w:tcPr>
          <w:p w:rsidR="003E35AE" w:rsidRPr="003E35AE" w:rsidRDefault="003E35AE" w:rsidP="00285C53">
            <w:pPr>
              <w:pStyle w:val="Compact"/>
              <w:jc w:val="both"/>
              <w:rPr>
                <w:rFonts w:cs="Times New Roman"/>
              </w:rPr>
            </w:pPr>
            <w:r w:rsidRPr="003E35AE">
              <w:rPr>
                <w:rFonts w:cs="Times New Roman"/>
              </w:rPr>
              <w:t>0.25</w:t>
            </w:r>
          </w:p>
        </w:tc>
        <w:tc>
          <w:tcPr>
            <w:tcW w:w="2105" w:type="pct"/>
          </w:tcPr>
          <w:p w:rsidR="003E35AE" w:rsidRPr="003E35AE" w:rsidRDefault="003E35AE" w:rsidP="00285C53">
            <w:pPr>
              <w:pStyle w:val="Compact"/>
              <w:jc w:val="both"/>
              <w:rPr>
                <w:rFonts w:cs="Times New Roman"/>
              </w:rPr>
            </w:pPr>
            <w:r w:rsidRPr="003E35AE">
              <w:rPr>
                <w:rFonts w:cs="Times New Roman"/>
              </w:rPr>
              <w:t>15%</w:t>
            </w:r>
          </w:p>
        </w:tc>
      </w:tr>
      <w:tr w:rsidR="003E35AE" w:rsidRPr="003E35AE" w:rsidTr="009B5BD4">
        <w:tc>
          <w:tcPr>
            <w:tcW w:w="859" w:type="pct"/>
          </w:tcPr>
          <w:p w:rsidR="003E35AE" w:rsidRPr="003E35AE" w:rsidRDefault="003E35AE" w:rsidP="00285C53">
            <w:pPr>
              <w:pStyle w:val="Compact"/>
              <w:jc w:val="both"/>
              <w:rPr>
                <w:rFonts w:cs="Times New Roman"/>
              </w:rPr>
            </w:pPr>
            <w:r w:rsidRPr="003E35AE">
              <w:rPr>
                <w:rFonts w:cs="Times New Roman"/>
              </w:rPr>
              <w:t>R</w:t>
            </w:r>
          </w:p>
        </w:tc>
        <w:tc>
          <w:tcPr>
            <w:tcW w:w="2035" w:type="pct"/>
          </w:tcPr>
          <w:p w:rsidR="003E35AE" w:rsidRPr="003E35AE" w:rsidRDefault="003E35AE" w:rsidP="00285C53">
            <w:pPr>
              <w:pStyle w:val="Compact"/>
              <w:jc w:val="both"/>
              <w:rPr>
                <w:rFonts w:cs="Times New Roman"/>
              </w:rPr>
            </w:pPr>
            <w:r w:rsidRPr="003E35AE">
              <w:rPr>
                <w:rFonts w:cs="Times New Roman"/>
              </w:rPr>
              <w:t>0.30</w:t>
            </w:r>
          </w:p>
        </w:tc>
        <w:tc>
          <w:tcPr>
            <w:tcW w:w="2105" w:type="pct"/>
          </w:tcPr>
          <w:p w:rsidR="003E35AE" w:rsidRPr="003E35AE" w:rsidRDefault="003E35AE" w:rsidP="00285C53">
            <w:pPr>
              <w:pStyle w:val="Compact"/>
              <w:jc w:val="both"/>
              <w:rPr>
                <w:rFonts w:cs="Times New Roman"/>
              </w:rPr>
            </w:pPr>
            <w:r w:rsidRPr="003E35AE">
              <w:rPr>
                <w:rFonts w:cs="Times New Roman"/>
              </w:rPr>
              <w:t>10%</w:t>
            </w:r>
          </w:p>
        </w:tc>
      </w:tr>
      <w:tr w:rsidR="003E35AE" w:rsidRPr="003E35AE" w:rsidTr="009B5BD4">
        <w:tc>
          <w:tcPr>
            <w:tcW w:w="859" w:type="pct"/>
          </w:tcPr>
          <w:p w:rsidR="003E35AE" w:rsidRPr="003E35AE" w:rsidRDefault="003E35AE" w:rsidP="00285C53">
            <w:pPr>
              <w:pStyle w:val="Compact"/>
              <w:jc w:val="both"/>
              <w:rPr>
                <w:rFonts w:cs="Times New Roman"/>
              </w:rPr>
            </w:pPr>
            <w:r w:rsidRPr="003E35AE">
              <w:rPr>
                <w:rFonts w:cs="Times New Roman"/>
              </w:rPr>
              <w:t>S</w:t>
            </w:r>
          </w:p>
        </w:tc>
        <w:tc>
          <w:tcPr>
            <w:tcW w:w="2035" w:type="pct"/>
          </w:tcPr>
          <w:p w:rsidR="003E35AE" w:rsidRPr="003E35AE" w:rsidRDefault="003E35AE" w:rsidP="00285C53">
            <w:pPr>
              <w:pStyle w:val="Compact"/>
              <w:jc w:val="both"/>
              <w:rPr>
                <w:rFonts w:cs="Times New Roman"/>
              </w:rPr>
            </w:pPr>
            <w:r w:rsidRPr="003E35AE">
              <w:rPr>
                <w:rFonts w:cs="Times New Roman"/>
              </w:rPr>
              <w:t>0.20</w:t>
            </w:r>
          </w:p>
        </w:tc>
        <w:tc>
          <w:tcPr>
            <w:tcW w:w="2105" w:type="pct"/>
          </w:tcPr>
          <w:p w:rsidR="003E35AE" w:rsidRPr="003E35AE" w:rsidRDefault="003E35AE" w:rsidP="00285C53">
            <w:pPr>
              <w:pStyle w:val="Compact"/>
              <w:jc w:val="both"/>
              <w:rPr>
                <w:rFonts w:cs="Times New Roman"/>
              </w:rPr>
            </w:pPr>
            <w:r w:rsidRPr="003E35AE">
              <w:rPr>
                <w:rFonts w:cs="Times New Roman"/>
              </w:rPr>
              <w:t>8%</w:t>
            </w:r>
          </w:p>
        </w:tc>
      </w:tr>
      <w:tr w:rsidR="003E35AE" w:rsidRPr="003E35AE" w:rsidTr="009B5BD4">
        <w:tc>
          <w:tcPr>
            <w:tcW w:w="859" w:type="pct"/>
          </w:tcPr>
          <w:p w:rsidR="003E35AE" w:rsidRPr="003E35AE" w:rsidRDefault="003E35AE" w:rsidP="00285C53">
            <w:pPr>
              <w:pStyle w:val="Compact"/>
              <w:jc w:val="both"/>
              <w:rPr>
                <w:rFonts w:cs="Times New Roman"/>
              </w:rPr>
            </w:pPr>
            <w:r w:rsidRPr="003E35AE">
              <w:rPr>
                <w:rFonts w:cs="Times New Roman"/>
              </w:rPr>
              <w:t>T</w:t>
            </w:r>
          </w:p>
        </w:tc>
        <w:tc>
          <w:tcPr>
            <w:tcW w:w="2035" w:type="pct"/>
          </w:tcPr>
          <w:p w:rsidR="003E35AE" w:rsidRPr="003E35AE" w:rsidRDefault="003E35AE" w:rsidP="00285C53">
            <w:pPr>
              <w:pStyle w:val="Compact"/>
              <w:jc w:val="both"/>
              <w:rPr>
                <w:rFonts w:cs="Times New Roman"/>
              </w:rPr>
            </w:pPr>
            <w:r w:rsidRPr="003E35AE">
              <w:rPr>
                <w:rFonts w:cs="Times New Roman"/>
              </w:rPr>
              <w:t>0.10</w:t>
            </w:r>
          </w:p>
        </w:tc>
        <w:tc>
          <w:tcPr>
            <w:tcW w:w="2105" w:type="pct"/>
          </w:tcPr>
          <w:p w:rsidR="003E35AE" w:rsidRPr="003E35AE" w:rsidRDefault="003E35AE" w:rsidP="00285C53">
            <w:pPr>
              <w:pStyle w:val="Compact"/>
              <w:jc w:val="both"/>
              <w:rPr>
                <w:rFonts w:cs="Times New Roman"/>
              </w:rPr>
            </w:pPr>
            <w:r w:rsidRPr="003E35AE">
              <w:rPr>
                <w:rFonts w:cs="Times New Roman"/>
              </w:rPr>
              <w:t>20%</w:t>
            </w:r>
          </w:p>
        </w:tc>
      </w:tr>
    </w:tbl>
    <w:bookmarkEnd w:id="0"/>
    <w:p w:rsidR="00CF478A" w:rsidRDefault="00CF478A" w:rsidP="00CF478A">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CF478A" w:rsidRDefault="00CF478A" w:rsidP="00CF478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Buy Complete assignment from us</w:t>
      </w:r>
    </w:p>
    <w:p w:rsidR="00CF478A" w:rsidRDefault="00CF478A" w:rsidP="00CF478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F478A" w:rsidRDefault="00CF478A" w:rsidP="00CF478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CF478A" w:rsidRDefault="00CF478A" w:rsidP="00CF478A">
      <w:pPr>
        <w:spacing w:before="240" w:after="240"/>
        <w:jc w:val="center"/>
        <w:rPr>
          <w:rFonts w:ascii="Georgia" w:hAnsi="Georgia"/>
          <w:sz w:val="32"/>
          <w:szCs w:val="32"/>
        </w:rPr>
      </w:pPr>
      <w:r>
        <w:rPr>
          <w:rFonts w:ascii="Georgia" w:hAnsi="Georgia"/>
          <w:sz w:val="32"/>
          <w:szCs w:val="32"/>
        </w:rPr>
        <w:t>buy cheap assignment help online from us easily</w:t>
      </w:r>
    </w:p>
    <w:p w:rsidR="00CF478A" w:rsidRDefault="00CF478A" w:rsidP="00CF478A">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CF478A" w:rsidRDefault="00CF478A" w:rsidP="00CF478A">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F478A" w:rsidRDefault="00CF478A" w:rsidP="00CF478A">
      <w:pPr>
        <w:spacing w:before="240" w:after="240"/>
        <w:jc w:val="center"/>
        <w:rPr>
          <w:rFonts w:ascii="Georgia" w:hAnsi="Georgia"/>
          <w:b/>
          <w:sz w:val="32"/>
          <w:szCs w:val="32"/>
        </w:rPr>
      </w:pPr>
      <w:r>
        <w:rPr>
          <w:rFonts w:ascii="Georgia" w:hAnsi="Georgia"/>
          <w:b/>
          <w:sz w:val="32"/>
          <w:szCs w:val="32"/>
        </w:rPr>
        <w:t>OR</w:t>
      </w:r>
    </w:p>
    <w:p w:rsidR="00CF478A" w:rsidRDefault="00CF478A" w:rsidP="00CF478A">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eastAsiaTheme="majorEastAsia" w:hAnsi="Georgia"/>
            <w:b/>
            <w:sz w:val="32"/>
          </w:rPr>
          <w:t>bestassignment247@gmail.com</w:t>
        </w:r>
      </w:hyperlink>
    </w:p>
    <w:p w:rsidR="00CF478A" w:rsidRDefault="00CF478A" w:rsidP="00CF478A">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eastAsiaTheme="majorEastAsia" w:hAnsi="Georgia"/>
            <w:b/>
            <w:sz w:val="32"/>
            <w:szCs w:val="32"/>
          </w:rPr>
          <w:t>www.assignmentsupport.in</w:t>
        </w:r>
      </w:hyperlink>
    </w:p>
    <w:p w:rsidR="003E35AE" w:rsidRPr="003E35AE" w:rsidRDefault="003E35AE" w:rsidP="00285C53">
      <w:pPr>
        <w:pStyle w:val="FirstParagraph"/>
        <w:jc w:val="both"/>
        <w:rPr>
          <w:rFonts w:cs="Times New Roman"/>
        </w:rPr>
      </w:pPr>
    </w:p>
    <w:p w:rsidR="003E35AE" w:rsidRPr="003E35AE" w:rsidRDefault="003E35AE" w:rsidP="00285C53">
      <w:pPr>
        <w:spacing w:line="240" w:lineRule="auto"/>
        <w:jc w:val="both"/>
        <w:rPr>
          <w:rFonts w:ascii="Times New Roman" w:hAnsi="Times New Roman"/>
          <w:sz w:val="24"/>
          <w:szCs w:val="24"/>
        </w:rPr>
      </w:pPr>
    </w:p>
    <w:p w:rsidR="003E35AE" w:rsidRPr="003E35AE" w:rsidRDefault="003E35AE" w:rsidP="00285C53">
      <w:pPr>
        <w:spacing w:line="240" w:lineRule="auto"/>
        <w:jc w:val="both"/>
        <w:rPr>
          <w:rFonts w:ascii="Times New Roman" w:hAnsi="Times New Roman"/>
          <w:sz w:val="24"/>
          <w:szCs w:val="24"/>
        </w:rPr>
      </w:pPr>
    </w:p>
    <w:p w:rsidR="003E35AE" w:rsidRPr="00684EB1" w:rsidRDefault="003E35AE" w:rsidP="00285C53">
      <w:pPr>
        <w:spacing w:line="240" w:lineRule="auto"/>
        <w:jc w:val="both"/>
        <w:rPr>
          <w:rFonts w:ascii="Times New Roman" w:hAnsi="Times New Roman"/>
          <w:b/>
          <w:sz w:val="24"/>
          <w:szCs w:val="24"/>
        </w:rPr>
      </w:pPr>
      <w:r w:rsidRPr="00684EB1">
        <w:rPr>
          <w:rFonts w:ascii="Times New Roman" w:hAnsi="Times New Roman"/>
          <w:b/>
          <w:sz w:val="24"/>
          <w:szCs w:val="24"/>
        </w:rPr>
        <w:t>2. a) Consider a bond with a face value of €500, a 9% annual coupon rate, and 8 years to maturity. If the annual interest rate is 8%, calculate the bond's current value.</w:t>
      </w:r>
    </w:p>
    <w:p w:rsidR="003E35AE" w:rsidRPr="00684EB1" w:rsidRDefault="003E35AE" w:rsidP="00285C53">
      <w:pPr>
        <w:spacing w:line="240" w:lineRule="auto"/>
        <w:jc w:val="both"/>
        <w:rPr>
          <w:rFonts w:ascii="Times New Roman" w:hAnsi="Times New Roman"/>
          <w:b/>
          <w:sz w:val="24"/>
          <w:szCs w:val="24"/>
        </w:rPr>
      </w:pPr>
      <w:r w:rsidRPr="00684EB1">
        <w:rPr>
          <w:rFonts w:ascii="Times New Roman" w:hAnsi="Times New Roman"/>
          <w:b/>
          <w:sz w:val="24"/>
          <w:szCs w:val="24"/>
        </w:rPr>
        <w:t>b) Discuss the concept of Moving Average Convergence Divergence (MACD)</w:t>
      </w:r>
      <w:r w:rsidRPr="00684EB1">
        <w:rPr>
          <w:rFonts w:ascii="Times New Roman" w:hAnsi="Times New Roman"/>
          <w:b/>
          <w:sz w:val="24"/>
          <w:szCs w:val="24"/>
        </w:rPr>
        <w:tab/>
      </w:r>
    </w:p>
    <w:p w:rsidR="00684EB1" w:rsidRDefault="00684EB1" w:rsidP="00285C53">
      <w:pPr>
        <w:pStyle w:val="Heading3"/>
        <w:jc w:val="both"/>
        <w:rPr>
          <w:rFonts w:cs="Times New Roman"/>
          <w:b/>
          <w:bCs/>
          <w:color w:val="auto"/>
          <w:sz w:val="24"/>
          <w:szCs w:val="24"/>
        </w:rPr>
      </w:pPr>
      <w:bookmarkStart w:id="1" w:name="a-bond-valuation-calculation"/>
      <w:r>
        <w:rPr>
          <w:rFonts w:cs="Times New Roman"/>
          <w:b/>
          <w:bCs/>
          <w:color w:val="auto"/>
          <w:sz w:val="24"/>
          <w:szCs w:val="24"/>
        </w:rPr>
        <w:t>Ans 2.</w:t>
      </w:r>
    </w:p>
    <w:p w:rsidR="00684EB1" w:rsidRPr="00D9502B" w:rsidRDefault="00684EB1" w:rsidP="00285C53">
      <w:pPr>
        <w:pStyle w:val="Heading3"/>
        <w:jc w:val="both"/>
        <w:rPr>
          <w:rFonts w:cs="Times New Roman"/>
          <w:color w:val="auto"/>
          <w:sz w:val="24"/>
          <w:szCs w:val="24"/>
        </w:rPr>
      </w:pPr>
      <w:r w:rsidRPr="00D9502B">
        <w:rPr>
          <w:rFonts w:cs="Times New Roman"/>
          <w:b/>
          <w:bCs/>
          <w:color w:val="auto"/>
          <w:sz w:val="24"/>
          <w:szCs w:val="24"/>
        </w:rPr>
        <w:t>(a) Bond Valuation Calculation</w:t>
      </w:r>
    </w:p>
    <w:p w:rsidR="00684EB1" w:rsidRPr="00D9502B" w:rsidRDefault="00684EB1" w:rsidP="00285C53">
      <w:pPr>
        <w:pStyle w:val="FirstParagraph"/>
        <w:jc w:val="both"/>
        <w:rPr>
          <w:rFonts w:cs="Times New Roman"/>
        </w:rPr>
      </w:pPr>
      <w:r w:rsidRPr="00D9502B">
        <w:rPr>
          <w:rFonts w:cs="Times New Roman"/>
        </w:rPr>
        <w:t>A bond's value is determined by the present value of its future cash flows, which include periodic coupon payments and the face value at maturity. Since the bondholder receives these payments over time, they must be discounted to their present value using the market interest rate.</w:t>
      </w:r>
    </w:p>
    <w:p w:rsidR="00684EB1" w:rsidRPr="00D9502B" w:rsidRDefault="00684EB1" w:rsidP="00285C53">
      <w:pPr>
        <w:pStyle w:val="BodyText"/>
        <w:jc w:val="both"/>
        <w:rPr>
          <w:rFonts w:cs="Times New Roman"/>
        </w:rPr>
      </w:pPr>
      <w:r w:rsidRPr="00D9502B">
        <w:rPr>
          <w:rFonts w:cs="Times New Roman"/>
        </w:rPr>
        <w:t>The formula for bond valuation is:</w:t>
      </w:r>
    </w:p>
    <w:p w:rsidR="00684EB1" w:rsidRPr="00D9502B" w:rsidRDefault="00684EB1" w:rsidP="00285C53">
      <w:pPr>
        <w:pStyle w:val="BodyText"/>
        <w:jc w:val="both"/>
        <w:rPr>
          <w:rFonts w:cs="Times New Roman"/>
        </w:rPr>
      </w:pPr>
      <m:oMathPara>
        <m:oMathParaPr>
          <m:jc m:val="center"/>
        </m:oMathParaPr>
        <m:oMath>
          <m:r>
            <m:rPr>
              <m:sty m:val="p"/>
            </m:rPr>
            <w:rPr>
              <w:rFonts w:ascii="Cambria Math" w:hAnsi="Cambria Math" w:cs="Times New Roman"/>
            </w:rPr>
            <m:t>P=∑</m:t>
          </m:r>
          <m:f>
            <m:fPr>
              <m:ctrlPr>
                <w:rPr>
                  <w:rFonts w:ascii="Cambria Math" w:hAnsi="Cambria Math" w:cs="Times New Roman"/>
                </w:rPr>
              </m:ctrlPr>
            </m:fPr>
            <m:num>
              <m:r>
                <m:rPr>
                  <m:sty m:val="p"/>
                </m:rPr>
                <w:rPr>
                  <w:rFonts w:ascii="Cambria Math" w:hAnsi="Cambria Math" w:cs="Times New Roman"/>
                </w:rPr>
                <m:t>C</m:t>
              </m:r>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1+r</m:t>
                      </m:r>
                    </m:e>
                  </m:d>
                </m:e>
                <m:sup>
                  <m:r>
                    <m:rPr>
                      <m:sty m:val="p"/>
                    </m:rPr>
                    <w:rPr>
                      <w:rFonts w:ascii="Cambria Math" w:hAnsi="Cambria Math" w:cs="Times New Roman"/>
                    </w:rPr>
                    <m:t>t</m:t>
                  </m:r>
                </m:sup>
              </m:sSup>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F</m:t>
              </m:r>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1+r</m:t>
                      </m:r>
                    </m:e>
                  </m:d>
                </m:e>
                <m:sup>
                  <m:r>
                    <m:rPr>
                      <m:sty m:val="p"/>
                    </m:rPr>
                    <w:rPr>
                      <w:rFonts w:ascii="Cambria Math" w:hAnsi="Cambria Math" w:cs="Times New Roman"/>
                    </w:rPr>
                    <m:t>n</m:t>
                  </m:r>
                </m:sup>
              </m:sSup>
            </m:den>
          </m:f>
        </m:oMath>
      </m:oMathPara>
    </w:p>
    <w:p w:rsidR="00684EB1" w:rsidRPr="00D9502B" w:rsidRDefault="00684EB1" w:rsidP="00285C53">
      <w:pPr>
        <w:pStyle w:val="FirstParagraph"/>
        <w:jc w:val="both"/>
        <w:rPr>
          <w:rFonts w:cs="Times New Roman"/>
        </w:rPr>
      </w:pPr>
      <w:r w:rsidRPr="00D9502B">
        <w:rPr>
          <w:rFonts w:cs="Times New Roman"/>
        </w:rPr>
        <w:t>Where:</w:t>
      </w:r>
    </w:p>
    <w:p w:rsidR="00684EB1" w:rsidRPr="00D9502B" w:rsidRDefault="00684EB1" w:rsidP="00285C53">
      <w:pPr>
        <w:pStyle w:val="Compact"/>
        <w:numPr>
          <w:ilvl w:val="0"/>
          <w:numId w:val="1"/>
        </w:numPr>
        <w:jc w:val="both"/>
        <w:rPr>
          <w:rFonts w:cs="Times New Roman"/>
        </w:rPr>
      </w:pPr>
      <m:oMath>
        <m:r>
          <m:rPr>
            <m:sty m:val="p"/>
          </m:rPr>
          <w:rPr>
            <w:rFonts w:ascii="Cambria Math" w:hAnsi="Cambria Math" w:cs="Times New Roman"/>
          </w:rPr>
          <m:t>P</m:t>
        </m:r>
      </m:oMath>
      <w:r w:rsidRPr="00D9502B">
        <w:rPr>
          <w:rFonts w:cs="Times New Roman"/>
        </w:rPr>
        <w:t xml:space="preserve"> = Current price of the bond</w:t>
      </w:r>
    </w:p>
    <w:p w:rsidR="00684EB1" w:rsidRPr="00D9502B" w:rsidRDefault="00684EB1" w:rsidP="00285C53">
      <w:pPr>
        <w:pStyle w:val="Compact"/>
        <w:numPr>
          <w:ilvl w:val="0"/>
          <w:numId w:val="1"/>
        </w:numPr>
        <w:jc w:val="both"/>
        <w:rPr>
          <w:rFonts w:cs="Times New Roman"/>
        </w:rPr>
      </w:pPr>
      <m:oMath>
        <m:r>
          <m:rPr>
            <m:sty m:val="p"/>
          </m:rPr>
          <w:rPr>
            <w:rFonts w:ascii="Cambria Math" w:hAnsi="Cambria Math" w:cs="Times New Roman"/>
          </w:rPr>
          <m:t>C</m:t>
        </m:r>
      </m:oMath>
      <w:r w:rsidRPr="00D9502B">
        <w:rPr>
          <w:rFonts w:cs="Times New Roman"/>
        </w:rPr>
        <w:t xml:space="preserve"> = Annual coupon payment (Coupon rate × Face value)</w:t>
      </w:r>
    </w:p>
    <w:p w:rsidR="00684EB1" w:rsidRPr="00D9502B" w:rsidRDefault="00684EB1" w:rsidP="00285C53">
      <w:pPr>
        <w:pStyle w:val="Compact"/>
        <w:numPr>
          <w:ilvl w:val="0"/>
          <w:numId w:val="1"/>
        </w:numPr>
        <w:jc w:val="both"/>
        <w:rPr>
          <w:rFonts w:cs="Times New Roman"/>
        </w:rPr>
      </w:pPr>
      <m:oMath>
        <m:r>
          <m:rPr>
            <m:sty m:val="p"/>
          </m:rPr>
          <w:rPr>
            <w:rFonts w:ascii="Cambria Math" w:hAnsi="Cambria Math" w:cs="Times New Roman"/>
          </w:rPr>
          <m:t>r</m:t>
        </m:r>
      </m:oMath>
      <w:r w:rsidRPr="00D9502B">
        <w:rPr>
          <w:rFonts w:cs="Times New Roman"/>
        </w:rPr>
        <w:t xml:space="preserve"> = Market interest rate (discount rate)</w:t>
      </w:r>
    </w:p>
    <w:bookmarkEnd w:id="1"/>
    <w:p w:rsidR="00684EB1" w:rsidRPr="00684EB1" w:rsidRDefault="00684EB1" w:rsidP="00CF478A">
      <w:pPr>
        <w:pStyle w:val="Compact"/>
        <w:ind w:left="720"/>
        <w:jc w:val="both"/>
      </w:pPr>
    </w:p>
    <w:p w:rsidR="00684EB1" w:rsidRPr="00684EB1" w:rsidRDefault="00684EB1" w:rsidP="00285C53">
      <w:pPr>
        <w:spacing w:line="240" w:lineRule="auto"/>
        <w:jc w:val="both"/>
        <w:rPr>
          <w:rFonts w:ascii="Times New Roman" w:hAnsi="Times New Roman"/>
          <w:b/>
          <w:bCs/>
          <w:sz w:val="24"/>
          <w:szCs w:val="24"/>
        </w:rPr>
      </w:pPr>
      <w:r w:rsidRPr="00684EB1">
        <w:rPr>
          <w:rFonts w:ascii="Times New Roman" w:hAnsi="Times New Roman"/>
          <w:b/>
          <w:bCs/>
          <w:sz w:val="24"/>
          <w:szCs w:val="24"/>
        </w:rPr>
        <w:t xml:space="preserve"> (b) Moving Average Convergence Divergence (MACD)</w:t>
      </w:r>
    </w:p>
    <w:p w:rsidR="00684EB1" w:rsidRPr="00684EB1" w:rsidRDefault="00684EB1" w:rsidP="00CF478A">
      <w:pPr>
        <w:spacing w:line="240" w:lineRule="auto"/>
        <w:jc w:val="both"/>
        <w:rPr>
          <w:rFonts w:ascii="Times New Roman" w:hAnsi="Times New Roman"/>
          <w:sz w:val="24"/>
          <w:szCs w:val="24"/>
        </w:rPr>
      </w:pPr>
      <w:r w:rsidRPr="00684EB1">
        <w:rPr>
          <w:rFonts w:ascii="Times New Roman" w:hAnsi="Times New Roman"/>
          <w:sz w:val="24"/>
          <w:szCs w:val="24"/>
        </w:rPr>
        <w:t xml:space="preserve">The </w:t>
      </w:r>
      <w:r w:rsidRPr="00684EB1">
        <w:rPr>
          <w:rFonts w:ascii="Times New Roman" w:hAnsi="Times New Roman"/>
          <w:b/>
          <w:bCs/>
          <w:sz w:val="24"/>
          <w:szCs w:val="24"/>
        </w:rPr>
        <w:t>Moving Average Convergence Divergence (MACD)</w:t>
      </w:r>
      <w:r w:rsidRPr="00684EB1">
        <w:rPr>
          <w:rFonts w:ascii="Times New Roman" w:hAnsi="Times New Roman"/>
          <w:sz w:val="24"/>
          <w:szCs w:val="24"/>
        </w:rPr>
        <w:t xml:space="preserve"> is a popular technical indicator used in financial markets to analyze trends and momentum in stock prices. It helps traders identify potential buy and sell signals by comparing two different </w:t>
      </w:r>
      <w:proofErr w:type="gramStart"/>
      <w:r w:rsidRPr="00684EB1">
        <w:rPr>
          <w:rFonts w:ascii="Times New Roman" w:hAnsi="Times New Roman"/>
          <w:sz w:val="24"/>
          <w:szCs w:val="24"/>
        </w:rPr>
        <w:t>exponential</w:t>
      </w:r>
      <w:proofErr w:type="gramEnd"/>
      <w:r w:rsidRPr="00684EB1">
        <w:rPr>
          <w:rFonts w:ascii="Times New Roman" w:hAnsi="Times New Roman"/>
          <w:sz w:val="24"/>
          <w:szCs w:val="24"/>
        </w:rPr>
        <w:t xml:space="preserve"> moving averages (EMAs) of a stock’s price. The MACD is calculated by subtracting the 26-day EMA from the 12-day EMA, resulting in the </w:t>
      </w:r>
      <w:r w:rsidRPr="00684EB1">
        <w:rPr>
          <w:rFonts w:ascii="Times New Roman" w:hAnsi="Times New Roman"/>
          <w:b/>
          <w:bCs/>
          <w:sz w:val="24"/>
          <w:szCs w:val="24"/>
        </w:rPr>
        <w:t>MACD line</w:t>
      </w:r>
      <w:r w:rsidRPr="00684EB1">
        <w:rPr>
          <w:rFonts w:ascii="Times New Roman" w:hAnsi="Times New Roman"/>
          <w:sz w:val="24"/>
          <w:szCs w:val="24"/>
        </w:rPr>
        <w:t xml:space="preserve">, which represents the difference between short-term and long-term price movements. </w:t>
      </w:r>
    </w:p>
    <w:p w:rsidR="003E35AE" w:rsidRPr="003E35AE" w:rsidRDefault="003E35AE" w:rsidP="00285C53">
      <w:pPr>
        <w:spacing w:line="240" w:lineRule="auto"/>
        <w:jc w:val="both"/>
        <w:rPr>
          <w:rFonts w:ascii="Times New Roman" w:hAnsi="Times New Roman"/>
          <w:sz w:val="24"/>
          <w:szCs w:val="24"/>
        </w:rPr>
      </w:pPr>
    </w:p>
    <w:p w:rsidR="003E35AE" w:rsidRPr="00684EB1" w:rsidRDefault="003E35AE" w:rsidP="00285C53">
      <w:pPr>
        <w:spacing w:line="240" w:lineRule="auto"/>
        <w:jc w:val="both"/>
        <w:rPr>
          <w:rFonts w:ascii="Times New Roman" w:hAnsi="Times New Roman"/>
          <w:b/>
          <w:sz w:val="24"/>
          <w:szCs w:val="24"/>
        </w:rPr>
      </w:pPr>
    </w:p>
    <w:p w:rsidR="003E35AE" w:rsidRPr="00684EB1" w:rsidRDefault="003E35AE" w:rsidP="00285C53">
      <w:pPr>
        <w:spacing w:line="240" w:lineRule="auto"/>
        <w:jc w:val="both"/>
        <w:rPr>
          <w:rFonts w:ascii="Times New Roman" w:hAnsi="Times New Roman"/>
          <w:b/>
          <w:sz w:val="24"/>
          <w:szCs w:val="24"/>
        </w:rPr>
      </w:pPr>
      <w:r w:rsidRPr="00684EB1">
        <w:rPr>
          <w:rFonts w:ascii="Times New Roman" w:hAnsi="Times New Roman"/>
          <w:b/>
          <w:sz w:val="24"/>
          <w:szCs w:val="24"/>
        </w:rPr>
        <w:t>3. a) Assuming a risk-free rate of 6% and an expected market risk premium of 9%, what is the expected return on a stock with a beta of 1.0?</w:t>
      </w:r>
    </w:p>
    <w:p w:rsidR="003E35AE" w:rsidRPr="00684EB1" w:rsidRDefault="003E35AE" w:rsidP="00285C53">
      <w:pPr>
        <w:spacing w:line="240" w:lineRule="auto"/>
        <w:jc w:val="both"/>
        <w:rPr>
          <w:rFonts w:ascii="Times New Roman" w:hAnsi="Times New Roman"/>
          <w:b/>
          <w:sz w:val="24"/>
          <w:szCs w:val="24"/>
        </w:rPr>
      </w:pPr>
      <w:r w:rsidRPr="00684EB1">
        <w:rPr>
          <w:rFonts w:ascii="Times New Roman" w:hAnsi="Times New Roman"/>
          <w:b/>
          <w:sz w:val="24"/>
          <w:szCs w:val="24"/>
        </w:rPr>
        <w:t xml:space="preserve">b)  </w:t>
      </w:r>
      <w:proofErr w:type="gramStart"/>
      <w:r w:rsidRPr="00684EB1">
        <w:rPr>
          <w:rFonts w:ascii="Times New Roman" w:hAnsi="Times New Roman"/>
          <w:b/>
          <w:sz w:val="24"/>
          <w:szCs w:val="24"/>
        </w:rPr>
        <w:t>Discuss  the</w:t>
      </w:r>
      <w:proofErr w:type="gramEnd"/>
      <w:r w:rsidRPr="00684EB1">
        <w:rPr>
          <w:rFonts w:ascii="Times New Roman" w:hAnsi="Times New Roman"/>
          <w:b/>
          <w:sz w:val="24"/>
          <w:szCs w:val="24"/>
        </w:rPr>
        <w:t xml:space="preserve">  principles  and  implications  of  the  Efficient  Market Hypothesis.</w:t>
      </w:r>
      <w:r w:rsidRPr="00684EB1">
        <w:rPr>
          <w:rFonts w:ascii="Times New Roman" w:hAnsi="Times New Roman"/>
          <w:b/>
          <w:sz w:val="24"/>
          <w:szCs w:val="24"/>
        </w:rPr>
        <w:tab/>
        <w:t>5+5</w:t>
      </w:r>
      <w:r w:rsidRPr="00684EB1">
        <w:rPr>
          <w:rFonts w:ascii="Times New Roman" w:hAnsi="Times New Roman"/>
          <w:b/>
          <w:sz w:val="24"/>
          <w:szCs w:val="24"/>
        </w:rPr>
        <w:tab/>
      </w:r>
    </w:p>
    <w:p w:rsidR="00684EB1" w:rsidRDefault="00684EB1" w:rsidP="00285C53">
      <w:pPr>
        <w:pStyle w:val="Heading3"/>
        <w:jc w:val="both"/>
        <w:rPr>
          <w:rFonts w:cs="Times New Roman"/>
          <w:b/>
          <w:bCs/>
          <w:color w:val="auto"/>
          <w:sz w:val="24"/>
          <w:szCs w:val="24"/>
        </w:rPr>
      </w:pPr>
      <w:bookmarkStart w:id="2" w:name="a-expected-return-using-capm"/>
      <w:r>
        <w:rPr>
          <w:rFonts w:cs="Times New Roman"/>
          <w:b/>
          <w:bCs/>
          <w:color w:val="auto"/>
          <w:sz w:val="24"/>
          <w:szCs w:val="24"/>
        </w:rPr>
        <w:t>Ans 3.</w:t>
      </w:r>
    </w:p>
    <w:p w:rsidR="00684EB1" w:rsidRPr="00E33E9B" w:rsidRDefault="00684EB1" w:rsidP="00285C53">
      <w:pPr>
        <w:pStyle w:val="Heading3"/>
        <w:jc w:val="both"/>
        <w:rPr>
          <w:rFonts w:cs="Times New Roman"/>
          <w:color w:val="auto"/>
          <w:sz w:val="24"/>
          <w:szCs w:val="24"/>
        </w:rPr>
      </w:pPr>
      <w:r w:rsidRPr="00E33E9B">
        <w:rPr>
          <w:rFonts w:cs="Times New Roman"/>
          <w:b/>
          <w:bCs/>
          <w:color w:val="auto"/>
          <w:sz w:val="24"/>
          <w:szCs w:val="24"/>
        </w:rPr>
        <w:t xml:space="preserve"> (a) Expected Return Using CAPM</w:t>
      </w:r>
    </w:p>
    <w:p w:rsidR="00684EB1" w:rsidRPr="00E33E9B" w:rsidRDefault="00684EB1" w:rsidP="00285C53">
      <w:pPr>
        <w:pStyle w:val="FirstParagraph"/>
        <w:jc w:val="both"/>
        <w:rPr>
          <w:rFonts w:cs="Times New Roman"/>
        </w:rPr>
      </w:pPr>
      <w:r w:rsidRPr="00E33E9B">
        <w:rPr>
          <w:rFonts w:cs="Times New Roman"/>
        </w:rPr>
        <w:t xml:space="preserve">The </w:t>
      </w:r>
      <w:r w:rsidRPr="00E33E9B">
        <w:rPr>
          <w:rFonts w:cs="Times New Roman"/>
          <w:b/>
          <w:bCs/>
        </w:rPr>
        <w:t>Capital Asset Pricing Model (CAPM)</w:t>
      </w:r>
      <w:r w:rsidRPr="00E33E9B">
        <w:rPr>
          <w:rFonts w:cs="Times New Roman"/>
        </w:rPr>
        <w:t xml:space="preserve"> determines the expected return on a stock based on its systematic risk (beta).</w:t>
      </w:r>
    </w:p>
    <w:p w:rsidR="00684EB1" w:rsidRPr="00E33E9B" w:rsidRDefault="00684EB1" w:rsidP="00285C53">
      <w:pPr>
        <w:pStyle w:val="BodyText"/>
        <w:jc w:val="both"/>
        <w:rPr>
          <w:rFonts w:cs="Times New Roman"/>
        </w:rPr>
      </w:pPr>
      <w:r w:rsidRPr="00E33E9B">
        <w:rPr>
          <w:rFonts w:cs="Times New Roman"/>
        </w:rPr>
        <w:t>The formula is:</w:t>
      </w:r>
    </w:p>
    <w:p w:rsidR="00684EB1" w:rsidRPr="00E33E9B" w:rsidRDefault="00684EB1" w:rsidP="00285C53">
      <w:pPr>
        <w:pStyle w:val="BodyText"/>
        <w:jc w:val="both"/>
        <w:rPr>
          <w:rFonts w:cs="Times New Roman"/>
        </w:rPr>
      </w:pPr>
      <m:oMathPara>
        <m:oMathParaPr>
          <m:jc m:val="center"/>
        </m:oMathParaPr>
        <m:oMath>
          <m:r>
            <m:rPr>
              <m:sty m:val="p"/>
            </m:rPr>
            <w:rPr>
              <w:rFonts w:ascii="Cambria Math" w:hAnsi="Cambria Math" w:cs="Times New Roman"/>
            </w:rPr>
            <m:t>E</m:t>
          </m:r>
          <m:d>
            <m:dPr>
              <m:ctrlPr>
                <w:rPr>
                  <w:rFonts w:ascii="Cambria Math" w:hAnsi="Cambria Math" w:cs="Times New Roman"/>
                </w:rPr>
              </m:ctrlPr>
            </m:dPr>
            <m:e>
              <m:r>
                <m:rPr>
                  <m:sty m:val="p"/>
                </m:rPr>
                <w:rPr>
                  <w:rFonts w:ascii="Cambria Math" w:hAnsi="Cambria Math" w:cs="Times New Roman"/>
                </w:rPr>
                <m:t>R</m:t>
              </m:r>
            </m:e>
          </m:d>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f</m:t>
              </m:r>
            </m:sub>
          </m:sSub>
          <m:r>
            <m:rPr>
              <m:sty m:val="p"/>
            </m:rPr>
            <w:rPr>
              <w:rFonts w:ascii="Cambria Math" w:hAnsi="Cambria Math" w:cs="Times New Roman"/>
            </w:rPr>
            <m:t>+β</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m</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f</m:t>
                  </m:r>
                </m:sub>
              </m:sSub>
            </m:e>
          </m:d>
        </m:oMath>
      </m:oMathPara>
    </w:p>
    <w:p w:rsidR="00684EB1" w:rsidRPr="00E33E9B" w:rsidRDefault="00684EB1" w:rsidP="00285C53">
      <w:pPr>
        <w:pStyle w:val="FirstParagraph"/>
        <w:jc w:val="both"/>
        <w:rPr>
          <w:rFonts w:cs="Times New Roman"/>
        </w:rPr>
      </w:pPr>
      <w:r w:rsidRPr="00E33E9B">
        <w:rPr>
          <w:rFonts w:cs="Times New Roman"/>
        </w:rPr>
        <w:t>Where:</w:t>
      </w:r>
    </w:p>
    <w:p w:rsidR="00684EB1" w:rsidRPr="00E33E9B" w:rsidRDefault="00684EB1" w:rsidP="00285C53">
      <w:pPr>
        <w:pStyle w:val="Compact"/>
        <w:numPr>
          <w:ilvl w:val="0"/>
          <w:numId w:val="1"/>
        </w:numPr>
        <w:jc w:val="both"/>
        <w:rPr>
          <w:rFonts w:cs="Times New Roman"/>
        </w:rPr>
      </w:pPr>
      <m:oMath>
        <m:r>
          <m:rPr>
            <m:sty m:val="p"/>
          </m:rPr>
          <w:rPr>
            <w:rFonts w:ascii="Cambria Math" w:hAnsi="Cambria Math" w:cs="Times New Roman"/>
          </w:rPr>
          <m:t>E</m:t>
        </m:r>
        <m:d>
          <m:dPr>
            <m:ctrlPr>
              <w:rPr>
                <w:rFonts w:ascii="Cambria Math" w:hAnsi="Cambria Math" w:cs="Times New Roman"/>
              </w:rPr>
            </m:ctrlPr>
          </m:dPr>
          <m:e>
            <m:r>
              <m:rPr>
                <m:sty m:val="p"/>
              </m:rPr>
              <w:rPr>
                <w:rFonts w:ascii="Cambria Math" w:hAnsi="Cambria Math" w:cs="Times New Roman"/>
              </w:rPr>
              <m:t>R</m:t>
            </m:r>
          </m:e>
        </m:d>
      </m:oMath>
      <w:r w:rsidRPr="00E33E9B">
        <w:rPr>
          <w:rFonts w:cs="Times New Roman"/>
        </w:rPr>
        <w:t xml:space="preserve"> = Expected return</w:t>
      </w:r>
    </w:p>
    <w:p w:rsidR="00684EB1" w:rsidRPr="00E33E9B" w:rsidRDefault="005F77A4" w:rsidP="00285C53">
      <w:pPr>
        <w:pStyle w:val="Compact"/>
        <w:numPr>
          <w:ilvl w:val="0"/>
          <w:numId w:val="1"/>
        </w:numPr>
        <w:jc w:val="both"/>
        <w:rPr>
          <w:rFonts w:cs="Times New Roman"/>
        </w:rPr>
      </w:pP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f</m:t>
            </m:r>
          </m:sub>
        </m:sSub>
      </m:oMath>
      <w:r w:rsidR="00684EB1" w:rsidRPr="00E33E9B">
        <w:rPr>
          <w:rFonts w:cs="Times New Roman"/>
        </w:rPr>
        <w:t xml:space="preserve"> = Risk-free rate = </w:t>
      </w:r>
      <w:r w:rsidR="00684EB1" w:rsidRPr="00E33E9B">
        <w:rPr>
          <w:rFonts w:cs="Times New Roman"/>
          <w:b/>
          <w:bCs/>
        </w:rPr>
        <w:t>6%</w:t>
      </w:r>
    </w:p>
    <w:p w:rsidR="00684EB1" w:rsidRPr="00E33E9B" w:rsidRDefault="005F77A4" w:rsidP="00285C53">
      <w:pPr>
        <w:pStyle w:val="Compact"/>
        <w:numPr>
          <w:ilvl w:val="0"/>
          <w:numId w:val="1"/>
        </w:numPr>
        <w:jc w:val="both"/>
        <w:rPr>
          <w:rFonts w:cs="Times New Roman"/>
        </w:rPr>
      </w:pP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m</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f</m:t>
            </m:r>
          </m:sub>
        </m:sSub>
      </m:oMath>
      <w:r w:rsidR="00684EB1" w:rsidRPr="00E33E9B">
        <w:rPr>
          <w:rFonts w:cs="Times New Roman"/>
        </w:rPr>
        <w:t xml:space="preserve"> = Market risk premium = </w:t>
      </w:r>
      <w:r w:rsidR="00684EB1" w:rsidRPr="00E33E9B">
        <w:rPr>
          <w:rFonts w:cs="Times New Roman"/>
          <w:b/>
          <w:bCs/>
        </w:rPr>
        <w:t>9%</w:t>
      </w:r>
    </w:p>
    <w:p w:rsidR="00684EB1" w:rsidRPr="00E33E9B" w:rsidRDefault="00684EB1" w:rsidP="00285C53">
      <w:pPr>
        <w:pStyle w:val="Compact"/>
        <w:numPr>
          <w:ilvl w:val="0"/>
          <w:numId w:val="1"/>
        </w:numPr>
        <w:jc w:val="both"/>
        <w:rPr>
          <w:rFonts w:cs="Times New Roman"/>
        </w:rPr>
      </w:pPr>
      <m:oMath>
        <m:r>
          <m:rPr>
            <m:sty m:val="p"/>
          </m:rPr>
          <w:rPr>
            <w:rFonts w:ascii="Cambria Math" w:hAnsi="Cambria Math" w:cs="Times New Roman"/>
          </w:rPr>
          <m:t>β</m:t>
        </m:r>
      </m:oMath>
      <w:r w:rsidRPr="00E33E9B">
        <w:rPr>
          <w:rFonts w:cs="Times New Roman"/>
        </w:rPr>
        <w:t xml:space="preserve"> = Beta of the stock = </w:t>
      </w:r>
      <w:r w:rsidRPr="00E33E9B">
        <w:rPr>
          <w:rFonts w:cs="Times New Roman"/>
          <w:b/>
          <w:bCs/>
        </w:rPr>
        <w:t>1.0</w:t>
      </w:r>
    </w:p>
    <w:p w:rsidR="00684EB1" w:rsidRPr="00E33E9B" w:rsidRDefault="00684EB1" w:rsidP="00285C53">
      <w:pPr>
        <w:pStyle w:val="FirstParagraph"/>
        <w:jc w:val="both"/>
        <w:rPr>
          <w:rFonts w:cs="Times New Roman"/>
        </w:rPr>
      </w:pPr>
      <w:r w:rsidRPr="00E33E9B">
        <w:rPr>
          <w:rFonts w:cs="Times New Roman"/>
        </w:rPr>
        <w:t>Now, substituting the values:</w:t>
      </w:r>
    </w:p>
    <w:bookmarkEnd w:id="2"/>
    <w:p w:rsidR="00684EB1" w:rsidRPr="00E33E9B" w:rsidRDefault="00684EB1" w:rsidP="00CF478A">
      <w:pPr>
        <w:pStyle w:val="FirstParagraph"/>
        <w:jc w:val="both"/>
        <w:rPr>
          <w:rFonts w:cs="Times New Roman"/>
        </w:rPr>
      </w:pPr>
      <w:r w:rsidRPr="00E33E9B">
        <w:rPr>
          <w:rFonts w:cs="Times New Roman"/>
        </w:rPr>
        <w:t xml:space="preserve">The </w:t>
      </w:r>
      <w:r w:rsidRPr="00E33E9B">
        <w:rPr>
          <w:rFonts w:cs="Times New Roman"/>
          <w:b/>
          <w:bCs/>
        </w:rPr>
        <w:t>Efficient Market Hypothesis (EMH)</w:t>
      </w:r>
      <w:r w:rsidRPr="00E33E9B">
        <w:rPr>
          <w:rFonts w:cs="Times New Roman"/>
        </w:rPr>
        <w:t xml:space="preserve"> is a financial theory that states that financial markets are </w:t>
      </w:r>
    </w:p>
    <w:p w:rsidR="003E35AE" w:rsidRPr="003E35AE" w:rsidRDefault="003E35AE" w:rsidP="00285C53">
      <w:pPr>
        <w:spacing w:line="240" w:lineRule="auto"/>
        <w:jc w:val="both"/>
        <w:rPr>
          <w:rFonts w:ascii="Times New Roman" w:hAnsi="Times New Roman"/>
          <w:sz w:val="24"/>
          <w:szCs w:val="24"/>
        </w:rPr>
      </w:pPr>
    </w:p>
    <w:p w:rsidR="003E35AE" w:rsidRPr="00285C53" w:rsidRDefault="003E35AE" w:rsidP="00285C53">
      <w:pPr>
        <w:spacing w:line="240" w:lineRule="auto"/>
        <w:jc w:val="both"/>
        <w:rPr>
          <w:rFonts w:ascii="Times New Roman" w:hAnsi="Times New Roman"/>
          <w:b/>
          <w:sz w:val="24"/>
          <w:szCs w:val="24"/>
        </w:rPr>
      </w:pPr>
    </w:p>
    <w:p w:rsidR="003E35AE" w:rsidRPr="00285C53" w:rsidRDefault="003E35AE" w:rsidP="00285C53">
      <w:pPr>
        <w:spacing w:line="240" w:lineRule="auto"/>
        <w:jc w:val="center"/>
        <w:rPr>
          <w:rFonts w:ascii="Times New Roman" w:hAnsi="Times New Roman"/>
          <w:b/>
          <w:sz w:val="24"/>
          <w:szCs w:val="24"/>
        </w:rPr>
      </w:pPr>
      <w:r w:rsidRPr="00285C53">
        <w:rPr>
          <w:rFonts w:ascii="Times New Roman" w:hAnsi="Times New Roman"/>
          <w:b/>
          <w:sz w:val="24"/>
          <w:szCs w:val="24"/>
        </w:rPr>
        <w:t>Assignment Set – 2</w:t>
      </w:r>
    </w:p>
    <w:p w:rsidR="003E35AE" w:rsidRPr="003E35AE" w:rsidRDefault="003E35AE" w:rsidP="00285C53">
      <w:pPr>
        <w:spacing w:line="240" w:lineRule="auto"/>
        <w:jc w:val="both"/>
        <w:rPr>
          <w:rFonts w:ascii="Times New Roman" w:hAnsi="Times New Roman"/>
          <w:sz w:val="24"/>
          <w:szCs w:val="24"/>
        </w:rPr>
      </w:pPr>
    </w:p>
    <w:p w:rsidR="00684EB1" w:rsidRDefault="00684EB1" w:rsidP="00285C53">
      <w:pPr>
        <w:spacing w:line="240" w:lineRule="auto"/>
        <w:jc w:val="both"/>
        <w:rPr>
          <w:rFonts w:ascii="Times New Roman" w:hAnsi="Times New Roman"/>
          <w:sz w:val="24"/>
          <w:szCs w:val="24"/>
        </w:rPr>
      </w:pPr>
    </w:p>
    <w:p w:rsidR="003E35AE" w:rsidRPr="00684EB1" w:rsidRDefault="003E35AE" w:rsidP="00285C53">
      <w:pPr>
        <w:spacing w:line="240" w:lineRule="auto"/>
        <w:jc w:val="both"/>
        <w:rPr>
          <w:rFonts w:ascii="Times New Roman" w:hAnsi="Times New Roman"/>
          <w:b/>
          <w:sz w:val="24"/>
          <w:szCs w:val="24"/>
        </w:rPr>
      </w:pPr>
      <w:r w:rsidRPr="00684EB1">
        <w:rPr>
          <w:rFonts w:ascii="Times New Roman" w:hAnsi="Times New Roman"/>
          <w:b/>
          <w:sz w:val="24"/>
          <w:szCs w:val="24"/>
        </w:rPr>
        <w:t>4. a) Analyze the role of Global Depository Receipts (GDRs) as a global investment avenue.</w:t>
      </w:r>
    </w:p>
    <w:p w:rsidR="003E35AE" w:rsidRPr="00684EB1" w:rsidRDefault="003E35AE" w:rsidP="00285C53">
      <w:pPr>
        <w:spacing w:line="240" w:lineRule="auto"/>
        <w:jc w:val="both"/>
        <w:rPr>
          <w:rFonts w:ascii="Times New Roman" w:hAnsi="Times New Roman"/>
          <w:b/>
          <w:sz w:val="24"/>
          <w:szCs w:val="24"/>
        </w:rPr>
      </w:pPr>
      <w:r w:rsidRPr="00684EB1">
        <w:rPr>
          <w:rFonts w:ascii="Times New Roman" w:hAnsi="Times New Roman"/>
          <w:b/>
          <w:sz w:val="24"/>
          <w:szCs w:val="24"/>
        </w:rPr>
        <w:t>b) Nancy invested 60% of her portfolio in Stock X, which has a return of 15%, and the remaining 40% in Stock Y, which has a return of 10%. Calculate the expected return of Nancy’s portfolio.</w:t>
      </w:r>
      <w:r w:rsidRPr="00684EB1">
        <w:rPr>
          <w:rFonts w:ascii="Times New Roman" w:hAnsi="Times New Roman"/>
          <w:b/>
          <w:sz w:val="24"/>
          <w:szCs w:val="24"/>
        </w:rPr>
        <w:tab/>
      </w:r>
    </w:p>
    <w:p w:rsidR="00684EB1" w:rsidRPr="00684EB1" w:rsidRDefault="00684EB1" w:rsidP="00285C53">
      <w:pPr>
        <w:spacing w:line="240" w:lineRule="auto"/>
        <w:jc w:val="both"/>
        <w:rPr>
          <w:rFonts w:ascii="Times New Roman" w:hAnsi="Times New Roman"/>
          <w:b/>
          <w:bCs/>
          <w:sz w:val="24"/>
          <w:szCs w:val="24"/>
        </w:rPr>
      </w:pPr>
      <w:r w:rsidRPr="00684EB1">
        <w:rPr>
          <w:rFonts w:ascii="Times New Roman" w:hAnsi="Times New Roman"/>
          <w:b/>
          <w:bCs/>
          <w:sz w:val="24"/>
          <w:szCs w:val="24"/>
        </w:rPr>
        <w:t>Ans 4.</w:t>
      </w:r>
    </w:p>
    <w:p w:rsidR="00684EB1" w:rsidRPr="00684EB1" w:rsidRDefault="00684EB1" w:rsidP="00285C53">
      <w:pPr>
        <w:spacing w:line="240" w:lineRule="auto"/>
        <w:jc w:val="both"/>
        <w:rPr>
          <w:rFonts w:ascii="Times New Roman" w:hAnsi="Times New Roman"/>
          <w:b/>
          <w:bCs/>
          <w:sz w:val="24"/>
          <w:szCs w:val="24"/>
        </w:rPr>
      </w:pPr>
      <w:r w:rsidRPr="00684EB1">
        <w:rPr>
          <w:rFonts w:ascii="Times New Roman" w:hAnsi="Times New Roman"/>
          <w:b/>
          <w:bCs/>
          <w:sz w:val="24"/>
          <w:szCs w:val="24"/>
        </w:rPr>
        <w:t xml:space="preserve"> (a) Role of Global Depository Receipts (GDRs) as a Global Investment Avenue</w:t>
      </w:r>
    </w:p>
    <w:p w:rsidR="003E35AE" w:rsidRDefault="00684EB1" w:rsidP="00CF478A">
      <w:pPr>
        <w:spacing w:line="240" w:lineRule="auto"/>
        <w:jc w:val="both"/>
        <w:rPr>
          <w:rFonts w:ascii="Times New Roman" w:hAnsi="Times New Roman"/>
          <w:sz w:val="24"/>
          <w:szCs w:val="24"/>
        </w:rPr>
      </w:pPr>
      <w:r w:rsidRPr="00684EB1">
        <w:rPr>
          <w:rFonts w:ascii="Times New Roman" w:hAnsi="Times New Roman"/>
          <w:sz w:val="24"/>
          <w:szCs w:val="24"/>
        </w:rPr>
        <w:t xml:space="preserve">Global Depository Receipts (GDRs) play a crucial role in the international financial market by allowing companies to raise capital from foreign investors without directly listing on foreign stock exchanges. A GDR is a financial instrument issued by a depository bank and represents shares in a foreign company. These receipts are traded on international stock exchanges such as the </w:t>
      </w:r>
      <w:r w:rsidRPr="00684EB1">
        <w:rPr>
          <w:rFonts w:ascii="Times New Roman" w:hAnsi="Times New Roman"/>
          <w:b/>
          <w:bCs/>
          <w:sz w:val="24"/>
          <w:szCs w:val="24"/>
        </w:rPr>
        <w:t>London Stock Exchange (LSE), Luxembourg Stock Exchange, and Singapore Exchange (SGX)</w:t>
      </w:r>
      <w:r w:rsidRPr="00684EB1">
        <w:rPr>
          <w:rFonts w:ascii="Times New Roman" w:hAnsi="Times New Roman"/>
          <w:sz w:val="24"/>
          <w:szCs w:val="24"/>
        </w:rPr>
        <w:t xml:space="preserve">, providing investors with access to equities from different countries. GDRs enable companies, </w:t>
      </w:r>
    </w:p>
    <w:p w:rsidR="00CF478A" w:rsidRDefault="00CF478A" w:rsidP="00CF478A">
      <w:pPr>
        <w:spacing w:line="240" w:lineRule="auto"/>
        <w:jc w:val="both"/>
        <w:rPr>
          <w:rFonts w:ascii="Times New Roman" w:hAnsi="Times New Roman"/>
          <w:sz w:val="24"/>
          <w:szCs w:val="24"/>
        </w:rPr>
      </w:pPr>
    </w:p>
    <w:p w:rsidR="00684EB1" w:rsidRPr="003E35AE" w:rsidRDefault="00684EB1" w:rsidP="00285C53">
      <w:pPr>
        <w:spacing w:line="240" w:lineRule="auto"/>
        <w:jc w:val="both"/>
        <w:rPr>
          <w:rFonts w:ascii="Times New Roman" w:hAnsi="Times New Roman"/>
          <w:sz w:val="24"/>
          <w:szCs w:val="24"/>
        </w:rPr>
      </w:pPr>
    </w:p>
    <w:p w:rsidR="003E35AE" w:rsidRPr="00285C53" w:rsidRDefault="003E35AE" w:rsidP="00285C53">
      <w:pPr>
        <w:spacing w:line="240" w:lineRule="auto"/>
        <w:jc w:val="both"/>
        <w:rPr>
          <w:rFonts w:ascii="Times New Roman" w:hAnsi="Times New Roman"/>
          <w:b/>
          <w:sz w:val="24"/>
          <w:szCs w:val="24"/>
        </w:rPr>
      </w:pPr>
      <w:r w:rsidRPr="00285C53">
        <w:rPr>
          <w:rFonts w:ascii="Times New Roman" w:hAnsi="Times New Roman"/>
          <w:b/>
          <w:sz w:val="24"/>
          <w:szCs w:val="24"/>
        </w:rPr>
        <w:t>5. a) Describe the meaning and benefits of mutual funds.</w:t>
      </w:r>
    </w:p>
    <w:p w:rsidR="003E35AE" w:rsidRPr="00285C53" w:rsidRDefault="003E35AE" w:rsidP="00285C53">
      <w:pPr>
        <w:spacing w:line="240" w:lineRule="auto"/>
        <w:jc w:val="both"/>
        <w:rPr>
          <w:rFonts w:ascii="Times New Roman" w:hAnsi="Times New Roman"/>
          <w:b/>
          <w:sz w:val="24"/>
          <w:szCs w:val="24"/>
        </w:rPr>
      </w:pPr>
      <w:r w:rsidRPr="00285C53">
        <w:rPr>
          <w:rFonts w:ascii="Times New Roman" w:hAnsi="Times New Roman"/>
          <w:b/>
          <w:sz w:val="24"/>
          <w:szCs w:val="24"/>
        </w:rPr>
        <w:t>b) Discuss the role of arbitrage in the Arbitrage Pricing Theory (APT).</w:t>
      </w:r>
      <w:r w:rsidRPr="00285C53">
        <w:rPr>
          <w:rFonts w:ascii="Times New Roman" w:hAnsi="Times New Roman"/>
          <w:b/>
          <w:sz w:val="24"/>
          <w:szCs w:val="24"/>
        </w:rPr>
        <w:tab/>
      </w:r>
    </w:p>
    <w:p w:rsidR="003E35AE" w:rsidRPr="00285C53" w:rsidRDefault="00285C53" w:rsidP="00285C53">
      <w:pPr>
        <w:spacing w:line="240" w:lineRule="auto"/>
        <w:jc w:val="both"/>
        <w:rPr>
          <w:rFonts w:ascii="Times New Roman" w:hAnsi="Times New Roman"/>
          <w:b/>
          <w:sz w:val="24"/>
          <w:szCs w:val="24"/>
        </w:rPr>
      </w:pPr>
      <w:r w:rsidRPr="00285C53">
        <w:rPr>
          <w:rFonts w:ascii="Times New Roman" w:hAnsi="Times New Roman"/>
          <w:b/>
          <w:sz w:val="24"/>
          <w:szCs w:val="24"/>
        </w:rPr>
        <w:t>Ans 5.</w:t>
      </w:r>
    </w:p>
    <w:p w:rsidR="00285C53" w:rsidRPr="00285C53" w:rsidRDefault="00285C53" w:rsidP="00285C53">
      <w:pPr>
        <w:spacing w:line="240" w:lineRule="auto"/>
        <w:jc w:val="both"/>
        <w:rPr>
          <w:rFonts w:ascii="Times New Roman" w:hAnsi="Times New Roman"/>
          <w:b/>
          <w:bCs/>
          <w:sz w:val="24"/>
          <w:szCs w:val="24"/>
        </w:rPr>
      </w:pPr>
      <w:r w:rsidRPr="00285C53">
        <w:rPr>
          <w:rFonts w:ascii="Times New Roman" w:hAnsi="Times New Roman"/>
          <w:b/>
          <w:bCs/>
          <w:sz w:val="24"/>
          <w:szCs w:val="24"/>
        </w:rPr>
        <w:t xml:space="preserve"> (a) Meaning and Benefits of Mutual Funds</w:t>
      </w:r>
    </w:p>
    <w:p w:rsidR="00285C53" w:rsidRPr="00285C53" w:rsidRDefault="00285C53" w:rsidP="00CF478A">
      <w:pPr>
        <w:spacing w:line="240" w:lineRule="auto"/>
        <w:jc w:val="both"/>
        <w:rPr>
          <w:rFonts w:ascii="Times New Roman" w:hAnsi="Times New Roman"/>
          <w:sz w:val="24"/>
          <w:szCs w:val="24"/>
        </w:rPr>
      </w:pPr>
      <w:r w:rsidRPr="00285C53">
        <w:rPr>
          <w:rFonts w:ascii="Times New Roman" w:hAnsi="Times New Roman"/>
          <w:sz w:val="24"/>
          <w:szCs w:val="24"/>
        </w:rPr>
        <w:t xml:space="preserve">A </w:t>
      </w:r>
      <w:r w:rsidRPr="00285C53">
        <w:rPr>
          <w:rFonts w:ascii="Times New Roman" w:hAnsi="Times New Roman"/>
          <w:b/>
          <w:bCs/>
          <w:sz w:val="24"/>
          <w:szCs w:val="24"/>
        </w:rPr>
        <w:t>mutual fund</w:t>
      </w:r>
      <w:r w:rsidRPr="00285C53">
        <w:rPr>
          <w:rFonts w:ascii="Times New Roman" w:hAnsi="Times New Roman"/>
          <w:sz w:val="24"/>
          <w:szCs w:val="24"/>
        </w:rPr>
        <w:t xml:space="preserve"> is a pooled investment vehicle where money from multiple investors is collected and invested in a diversified portfolio of stocks, bonds, or other assets. These funds are managed by professional fund managers who allocate capital strategically to generate returns while minimizing risks. Mutual funds are categorized based on their investment objectives, such as </w:t>
      </w:r>
      <w:r w:rsidRPr="00285C53">
        <w:rPr>
          <w:rFonts w:ascii="Times New Roman" w:hAnsi="Times New Roman"/>
          <w:b/>
          <w:bCs/>
          <w:sz w:val="24"/>
          <w:szCs w:val="24"/>
        </w:rPr>
        <w:t>equity funds, debt funds, hybrid funds, and index funds</w:t>
      </w:r>
      <w:r w:rsidRPr="00285C53">
        <w:rPr>
          <w:rFonts w:ascii="Times New Roman" w:hAnsi="Times New Roman"/>
          <w:sz w:val="24"/>
          <w:szCs w:val="24"/>
        </w:rPr>
        <w:t xml:space="preserve">. Investors purchase units of the mutual fund, and the fund’s Net Asset Value (NAV) determines the value of their investment. Since mutual funds offer diversification and professional management, they are a popular choice for both individual and </w:t>
      </w:r>
    </w:p>
    <w:p w:rsidR="00285C53" w:rsidRPr="003E35AE" w:rsidRDefault="00285C53" w:rsidP="00285C53">
      <w:pPr>
        <w:spacing w:line="240" w:lineRule="auto"/>
        <w:jc w:val="both"/>
        <w:rPr>
          <w:rFonts w:ascii="Times New Roman" w:hAnsi="Times New Roman"/>
          <w:sz w:val="24"/>
          <w:szCs w:val="24"/>
        </w:rPr>
      </w:pPr>
    </w:p>
    <w:p w:rsidR="00285C53" w:rsidRPr="003E35AE" w:rsidRDefault="00285C53" w:rsidP="00285C53">
      <w:pPr>
        <w:spacing w:line="240" w:lineRule="auto"/>
        <w:jc w:val="both"/>
        <w:rPr>
          <w:rFonts w:ascii="Times New Roman" w:hAnsi="Times New Roman"/>
          <w:sz w:val="24"/>
          <w:szCs w:val="24"/>
        </w:rPr>
      </w:pPr>
    </w:p>
    <w:p w:rsidR="00285C53" w:rsidRPr="00285C53" w:rsidRDefault="00285C53" w:rsidP="00285C53">
      <w:pPr>
        <w:spacing w:line="240" w:lineRule="auto"/>
        <w:jc w:val="both"/>
        <w:rPr>
          <w:rFonts w:ascii="Times New Roman" w:hAnsi="Times New Roman"/>
          <w:b/>
          <w:sz w:val="24"/>
          <w:szCs w:val="24"/>
        </w:rPr>
      </w:pPr>
      <w:r w:rsidRPr="00285C53">
        <w:rPr>
          <w:rFonts w:ascii="Times New Roman" w:hAnsi="Times New Roman"/>
          <w:b/>
          <w:sz w:val="24"/>
          <w:szCs w:val="24"/>
        </w:rPr>
        <w:t xml:space="preserve">6. a) Distinguish between fundamental analysis and technical analysis. </w:t>
      </w:r>
    </w:p>
    <w:p w:rsidR="00285C53" w:rsidRPr="00285C53" w:rsidRDefault="00285C53" w:rsidP="00285C53">
      <w:pPr>
        <w:spacing w:line="240" w:lineRule="auto"/>
        <w:jc w:val="both"/>
        <w:rPr>
          <w:rFonts w:ascii="Times New Roman" w:hAnsi="Times New Roman"/>
          <w:b/>
          <w:sz w:val="24"/>
          <w:szCs w:val="24"/>
        </w:rPr>
      </w:pPr>
      <w:r w:rsidRPr="00285C53">
        <w:rPr>
          <w:rFonts w:ascii="Times New Roman" w:hAnsi="Times New Roman"/>
          <w:b/>
          <w:sz w:val="24"/>
          <w:szCs w:val="24"/>
        </w:rPr>
        <w:t>b) What are the common mistakes made in investment management?</w:t>
      </w:r>
    </w:p>
    <w:p w:rsidR="00285C53" w:rsidRPr="00285C53" w:rsidRDefault="00285C53" w:rsidP="00285C53">
      <w:pPr>
        <w:spacing w:line="240" w:lineRule="auto"/>
        <w:jc w:val="both"/>
        <w:rPr>
          <w:rFonts w:ascii="Times New Roman" w:hAnsi="Times New Roman"/>
          <w:b/>
          <w:sz w:val="24"/>
          <w:szCs w:val="24"/>
        </w:rPr>
      </w:pPr>
      <w:r w:rsidRPr="00285C53">
        <w:rPr>
          <w:rFonts w:ascii="Times New Roman" w:hAnsi="Times New Roman"/>
          <w:b/>
          <w:sz w:val="24"/>
          <w:szCs w:val="24"/>
        </w:rPr>
        <w:t>Ans 6.</w:t>
      </w:r>
    </w:p>
    <w:p w:rsidR="00285C53" w:rsidRPr="00285C53" w:rsidRDefault="00285C53" w:rsidP="00285C53">
      <w:pPr>
        <w:spacing w:line="240" w:lineRule="auto"/>
        <w:jc w:val="both"/>
        <w:rPr>
          <w:rFonts w:ascii="Times New Roman" w:hAnsi="Times New Roman"/>
          <w:b/>
          <w:bCs/>
          <w:sz w:val="24"/>
          <w:szCs w:val="24"/>
        </w:rPr>
      </w:pPr>
      <w:r w:rsidRPr="00285C53">
        <w:rPr>
          <w:rFonts w:ascii="Times New Roman" w:hAnsi="Times New Roman"/>
          <w:b/>
          <w:bCs/>
          <w:sz w:val="24"/>
          <w:szCs w:val="24"/>
        </w:rPr>
        <w:t>(a) Distinction Between Fundamental Analysis and Technical Analysis</w:t>
      </w:r>
    </w:p>
    <w:p w:rsidR="00285C53" w:rsidRPr="00285C53" w:rsidRDefault="00285C53" w:rsidP="00285C53">
      <w:pPr>
        <w:spacing w:line="240" w:lineRule="auto"/>
        <w:jc w:val="both"/>
        <w:rPr>
          <w:rFonts w:ascii="Times New Roman" w:hAnsi="Times New Roman"/>
          <w:sz w:val="24"/>
          <w:szCs w:val="24"/>
        </w:rPr>
      </w:pPr>
      <w:r w:rsidRPr="00285C53">
        <w:rPr>
          <w:rFonts w:ascii="Times New Roman" w:hAnsi="Times New Roman"/>
          <w:sz w:val="24"/>
          <w:szCs w:val="24"/>
        </w:rPr>
        <w:t xml:space="preserve">Investors use two primary approaches to evaluate stocks and make investment decisions: </w:t>
      </w:r>
      <w:r w:rsidRPr="00285C53">
        <w:rPr>
          <w:rFonts w:ascii="Times New Roman" w:hAnsi="Times New Roman"/>
          <w:b/>
          <w:bCs/>
          <w:sz w:val="24"/>
          <w:szCs w:val="24"/>
        </w:rPr>
        <w:t>fundamental analysis</w:t>
      </w:r>
      <w:r w:rsidRPr="00285C53">
        <w:rPr>
          <w:rFonts w:ascii="Times New Roman" w:hAnsi="Times New Roman"/>
          <w:sz w:val="24"/>
          <w:szCs w:val="24"/>
        </w:rPr>
        <w:t xml:space="preserve"> and </w:t>
      </w:r>
      <w:r w:rsidRPr="00285C53">
        <w:rPr>
          <w:rFonts w:ascii="Times New Roman" w:hAnsi="Times New Roman"/>
          <w:b/>
          <w:bCs/>
          <w:sz w:val="24"/>
          <w:szCs w:val="24"/>
        </w:rPr>
        <w:t>technical analysis</w:t>
      </w:r>
      <w:r w:rsidRPr="00285C53">
        <w:rPr>
          <w:rFonts w:ascii="Times New Roman" w:hAnsi="Times New Roman"/>
          <w:sz w:val="24"/>
          <w:szCs w:val="24"/>
        </w:rPr>
        <w:t>. While both methods aim to predict price movements, they differ significantly in their approach, tools, and assumptions about market behavior.</w:t>
      </w:r>
    </w:p>
    <w:p w:rsidR="00285C53" w:rsidRPr="00285C53" w:rsidRDefault="00285C53" w:rsidP="00285C53">
      <w:pPr>
        <w:spacing w:line="240" w:lineRule="auto"/>
        <w:jc w:val="both"/>
        <w:rPr>
          <w:rFonts w:ascii="Times New Roman" w:hAnsi="Times New Roman"/>
          <w:b/>
          <w:bCs/>
          <w:sz w:val="24"/>
          <w:szCs w:val="24"/>
        </w:rPr>
      </w:pPr>
      <w:r w:rsidRPr="00285C53">
        <w:rPr>
          <w:rFonts w:ascii="Times New Roman" w:hAnsi="Times New Roman"/>
          <w:b/>
          <w:bCs/>
          <w:sz w:val="24"/>
          <w:szCs w:val="24"/>
        </w:rPr>
        <w:t>Fundamental Analysis: Assessing Intrinsic Value</w:t>
      </w:r>
    </w:p>
    <w:p w:rsidR="00285C53" w:rsidRPr="00285C53" w:rsidRDefault="00285C53" w:rsidP="00285C53">
      <w:pPr>
        <w:spacing w:line="240" w:lineRule="auto"/>
        <w:jc w:val="both"/>
        <w:rPr>
          <w:rFonts w:ascii="Times New Roman" w:hAnsi="Times New Roman"/>
          <w:sz w:val="24"/>
          <w:szCs w:val="24"/>
        </w:rPr>
      </w:pPr>
      <w:r w:rsidRPr="00285C53">
        <w:rPr>
          <w:rFonts w:ascii="Times New Roman" w:hAnsi="Times New Roman"/>
          <w:b/>
          <w:bCs/>
          <w:sz w:val="24"/>
          <w:szCs w:val="24"/>
        </w:rPr>
        <w:t>Fundamental analysis</w:t>
      </w:r>
      <w:r w:rsidRPr="00285C53">
        <w:rPr>
          <w:rFonts w:ascii="Times New Roman" w:hAnsi="Times New Roman"/>
          <w:sz w:val="24"/>
          <w:szCs w:val="24"/>
        </w:rPr>
        <w:t xml:space="preserve"> focuses on evaluating a company's </w:t>
      </w:r>
      <w:r w:rsidRPr="00285C53">
        <w:rPr>
          <w:rFonts w:ascii="Times New Roman" w:hAnsi="Times New Roman"/>
          <w:b/>
          <w:bCs/>
          <w:sz w:val="24"/>
          <w:szCs w:val="24"/>
        </w:rPr>
        <w:t>financial health, earnings potential, and economic position</w:t>
      </w:r>
      <w:r w:rsidRPr="00285C53">
        <w:rPr>
          <w:rFonts w:ascii="Times New Roman" w:hAnsi="Times New Roman"/>
          <w:sz w:val="24"/>
          <w:szCs w:val="24"/>
        </w:rPr>
        <w:t xml:space="preserve"> to determine its </w:t>
      </w:r>
      <w:r w:rsidRPr="00285C53">
        <w:rPr>
          <w:rFonts w:ascii="Times New Roman" w:hAnsi="Times New Roman"/>
          <w:b/>
          <w:bCs/>
          <w:sz w:val="24"/>
          <w:szCs w:val="24"/>
        </w:rPr>
        <w:t>intrinsic value</w:t>
      </w:r>
      <w:r w:rsidRPr="00285C53">
        <w:rPr>
          <w:rFonts w:ascii="Times New Roman" w:hAnsi="Times New Roman"/>
          <w:sz w:val="24"/>
          <w:szCs w:val="24"/>
        </w:rPr>
        <w:t xml:space="preserve">. Analysts examine factors such as </w:t>
      </w:r>
      <w:r w:rsidRPr="00285C53">
        <w:rPr>
          <w:rFonts w:ascii="Times New Roman" w:hAnsi="Times New Roman"/>
          <w:b/>
          <w:bCs/>
          <w:sz w:val="24"/>
          <w:szCs w:val="24"/>
        </w:rPr>
        <w:t>revenue, profit margins, earnings growth, financial ratios (P/E ratio, debt-to-equity ratio), and industry trends</w:t>
      </w:r>
      <w:r w:rsidRPr="00285C53">
        <w:rPr>
          <w:rFonts w:ascii="Times New Roman" w:hAnsi="Times New Roman"/>
          <w:sz w:val="24"/>
          <w:szCs w:val="24"/>
        </w:rPr>
        <w:t xml:space="preserve">. They also consider macroeconomic indicators like </w:t>
      </w:r>
      <w:r w:rsidRPr="00285C53">
        <w:rPr>
          <w:rFonts w:ascii="Times New Roman" w:hAnsi="Times New Roman"/>
          <w:b/>
          <w:bCs/>
          <w:sz w:val="24"/>
          <w:szCs w:val="24"/>
        </w:rPr>
        <w:t>GDP growth, inflation, and interest rates</w:t>
      </w:r>
      <w:r w:rsidRPr="00285C53">
        <w:rPr>
          <w:rFonts w:ascii="Times New Roman" w:hAnsi="Times New Roman"/>
          <w:sz w:val="24"/>
          <w:szCs w:val="24"/>
        </w:rPr>
        <w:t xml:space="preserve"> to assess the broader economic impact on stock performance. The goal is to identify undervalued stocks that have strong long-term growth potential.</w:t>
      </w:r>
    </w:p>
    <w:p w:rsidR="00285C53" w:rsidRPr="00285C53" w:rsidRDefault="00285C53" w:rsidP="00285C53">
      <w:pPr>
        <w:spacing w:line="240" w:lineRule="auto"/>
        <w:jc w:val="both"/>
        <w:rPr>
          <w:rFonts w:ascii="Times New Roman" w:hAnsi="Times New Roman"/>
          <w:b/>
          <w:bCs/>
          <w:sz w:val="24"/>
          <w:szCs w:val="24"/>
        </w:rPr>
      </w:pPr>
      <w:r w:rsidRPr="00285C53">
        <w:rPr>
          <w:rFonts w:ascii="Times New Roman" w:hAnsi="Times New Roman"/>
          <w:b/>
          <w:bCs/>
          <w:sz w:val="24"/>
          <w:szCs w:val="24"/>
        </w:rPr>
        <w:t>Technical Analysis: Studying Price Trends and Patterns</w:t>
      </w:r>
    </w:p>
    <w:p w:rsidR="003E35AE" w:rsidRPr="003E35AE" w:rsidRDefault="00285C53" w:rsidP="00CF478A">
      <w:pPr>
        <w:spacing w:line="240" w:lineRule="auto"/>
        <w:jc w:val="both"/>
        <w:rPr>
          <w:rFonts w:ascii="Times New Roman" w:hAnsi="Times New Roman"/>
          <w:sz w:val="24"/>
          <w:szCs w:val="24"/>
        </w:rPr>
        <w:sectPr w:rsidR="003E35AE" w:rsidRPr="003E35AE" w:rsidSect="00EB3F2F">
          <w:headerReference w:type="default" r:id="rId9"/>
          <w:footerReference w:type="default" r:id="rId10"/>
          <w:pgSz w:w="11920" w:h="16840"/>
          <w:pgMar w:top="1440" w:right="1440" w:bottom="1440" w:left="1440" w:header="284" w:footer="676" w:gutter="0"/>
          <w:cols w:space="720" w:equalWidth="0">
            <w:col w:w="9580"/>
          </w:cols>
          <w:noEndnote/>
          <w:docGrid w:linePitch="299"/>
        </w:sectPr>
      </w:pPr>
      <w:r w:rsidRPr="00285C53">
        <w:rPr>
          <w:rFonts w:ascii="Times New Roman" w:hAnsi="Times New Roman"/>
          <w:sz w:val="24"/>
          <w:szCs w:val="24"/>
        </w:rPr>
        <w:t xml:space="preserve">In contrast, </w:t>
      </w:r>
      <w:r w:rsidRPr="00285C53">
        <w:rPr>
          <w:rFonts w:ascii="Times New Roman" w:hAnsi="Times New Roman"/>
          <w:b/>
          <w:bCs/>
          <w:sz w:val="24"/>
          <w:szCs w:val="24"/>
        </w:rPr>
        <w:t>technical analysis</w:t>
      </w:r>
      <w:r w:rsidRPr="00285C53">
        <w:rPr>
          <w:rFonts w:ascii="Times New Roman" w:hAnsi="Times New Roman"/>
          <w:sz w:val="24"/>
          <w:szCs w:val="24"/>
        </w:rPr>
        <w:t xml:space="preserve"> does not consider financial fundamentals but instead focuses on </w:t>
      </w:r>
      <w:r w:rsidRPr="00285C53">
        <w:rPr>
          <w:rFonts w:ascii="Times New Roman" w:hAnsi="Times New Roman"/>
          <w:b/>
          <w:bCs/>
          <w:sz w:val="24"/>
          <w:szCs w:val="24"/>
        </w:rPr>
        <w:t>price movements, trading volume, and chart patterns</w:t>
      </w:r>
      <w:r w:rsidRPr="00285C53">
        <w:rPr>
          <w:rFonts w:ascii="Times New Roman" w:hAnsi="Times New Roman"/>
          <w:sz w:val="24"/>
          <w:szCs w:val="24"/>
        </w:rPr>
        <w:t xml:space="preserve"> to predict future price trends. Technical analysts use tools such as </w:t>
      </w:r>
      <w:r w:rsidRPr="00285C53">
        <w:rPr>
          <w:rFonts w:ascii="Times New Roman" w:hAnsi="Times New Roman"/>
          <w:b/>
          <w:bCs/>
          <w:sz w:val="24"/>
          <w:szCs w:val="24"/>
        </w:rPr>
        <w:t xml:space="preserve">moving averages, Relative Strength Index (RSI), Bollinger Bands, and </w:t>
      </w:r>
      <w:bookmarkStart w:id="3" w:name="_GoBack"/>
      <w:bookmarkEnd w:id="3"/>
    </w:p>
    <w:p w:rsidR="003E35AE" w:rsidRPr="003E35AE" w:rsidRDefault="003E35AE" w:rsidP="00285C53">
      <w:pPr>
        <w:spacing w:line="240" w:lineRule="auto"/>
        <w:jc w:val="both"/>
        <w:rPr>
          <w:rFonts w:ascii="Times New Roman" w:hAnsi="Times New Roman"/>
          <w:sz w:val="24"/>
          <w:szCs w:val="24"/>
        </w:rPr>
      </w:pPr>
    </w:p>
    <w:sectPr w:rsidR="003E35AE" w:rsidRPr="003E35AE" w:rsidSect="00EB3F2F">
      <w:headerReference w:type="default" r:id="rId11"/>
      <w:footerReference w:type="default" r:id="rId12"/>
      <w:pgSz w:w="11920" w:h="16840"/>
      <w:pgMar w:top="1440" w:right="1440" w:bottom="1440" w:left="1440" w:header="284" w:footer="0"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7A4" w:rsidRDefault="005F77A4">
      <w:pPr>
        <w:spacing w:after="0" w:line="240" w:lineRule="auto"/>
      </w:pPr>
      <w:r>
        <w:separator/>
      </w:r>
    </w:p>
  </w:endnote>
  <w:endnote w:type="continuationSeparator" w:id="0">
    <w:p w:rsidR="005F77A4" w:rsidRDefault="005F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8F7" w:rsidRDefault="003E35A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5970270</wp:posOffset>
              </wp:positionH>
              <wp:positionV relativeFrom="page">
                <wp:posOffset>10123805</wp:posOffset>
              </wp:positionV>
              <wp:extent cx="688340" cy="1517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8F7" w:rsidRDefault="005F77A4">
                          <w:pPr>
                            <w:widowControl w:val="0"/>
                            <w:autoSpaceDE w:val="0"/>
                            <w:autoSpaceDN w:val="0"/>
                            <w:adjustRightInd w:val="0"/>
                            <w:spacing w:after="0" w:line="226" w:lineRule="exact"/>
                            <w:ind w:left="20" w:right="-30"/>
                            <w:rPr>
                              <w:rFonts w:ascii="Tahoma" w:hAnsi="Tahoma" w:cs="Tahom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0.1pt;margin-top:797.15pt;width:54.2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R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" o:allowincell="f" filled="f" stroked="f">
              <v:textbox inset="0,0,0,0">
                <w:txbxContent>
                  <w:p w:rsidR="002E78F7" w:rsidRDefault="005F77A4">
                    <w:pPr>
                      <w:widowControl w:val="0"/>
                      <w:autoSpaceDE w:val="0"/>
                      <w:autoSpaceDN w:val="0"/>
                      <w:adjustRightInd w:val="0"/>
                      <w:spacing w:after="0" w:line="226" w:lineRule="exact"/>
                      <w:ind w:left="20" w:right="-30"/>
                      <w:rPr>
                        <w:rFonts w:ascii="Tahoma" w:hAnsi="Tahoma" w:cs="Tahoma"/>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8F7" w:rsidRDefault="005F77A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7A4" w:rsidRDefault="005F77A4">
      <w:pPr>
        <w:spacing w:after="0" w:line="240" w:lineRule="auto"/>
      </w:pPr>
      <w:r>
        <w:separator/>
      </w:r>
    </w:p>
  </w:footnote>
  <w:footnote w:type="continuationSeparator" w:id="0">
    <w:p w:rsidR="005F77A4" w:rsidRDefault="005F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8F7" w:rsidRDefault="003E35A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704" behindDoc="1" locked="0" layoutInCell="0" allowOverlap="1">
              <wp:simplePos x="0" y="0"/>
              <wp:positionH relativeFrom="page">
                <wp:posOffset>2183765</wp:posOffset>
              </wp:positionH>
              <wp:positionV relativeFrom="page">
                <wp:posOffset>180340</wp:posOffset>
              </wp:positionV>
              <wp:extent cx="3187700" cy="10160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8F7" w:rsidRDefault="005F77A4">
                          <w:pPr>
                            <w:spacing w:after="0" w:line="1600" w:lineRule="atLeast"/>
                            <w:rPr>
                              <w:rFonts w:ascii="Times New Roman" w:hAnsi="Times New Roman"/>
                              <w:sz w:val="24"/>
                              <w:szCs w:val="24"/>
                            </w:rPr>
                          </w:pPr>
                        </w:p>
                        <w:p w:rsidR="002E78F7" w:rsidRDefault="005F77A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71.95pt;margin-top:14.2pt;width:251pt;height:8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" o:allowincell="f" filled="f" stroked="f">
              <v:textbox inset="0,0,0,0">
                <w:txbxContent>
                  <w:p w:rsidR="002E78F7" w:rsidRDefault="005F77A4">
                    <w:pPr>
                      <w:spacing w:after="0" w:line="1600" w:lineRule="atLeast"/>
                      <w:rPr>
                        <w:rFonts w:ascii="Times New Roman" w:hAnsi="Times New Roman"/>
                        <w:sz w:val="24"/>
                        <w:szCs w:val="24"/>
                      </w:rPr>
                    </w:pPr>
                  </w:p>
                  <w:p w:rsidR="002E78F7" w:rsidRDefault="005F77A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8F7" w:rsidRDefault="003E35A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2183765</wp:posOffset>
              </wp:positionH>
              <wp:positionV relativeFrom="page">
                <wp:posOffset>180340</wp:posOffset>
              </wp:positionV>
              <wp:extent cx="3187700" cy="10160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8F7" w:rsidRDefault="005F77A4">
                          <w:pPr>
                            <w:spacing w:after="0" w:line="1600" w:lineRule="atLeast"/>
                            <w:rPr>
                              <w:rFonts w:ascii="Times New Roman" w:hAnsi="Times New Roman"/>
                              <w:sz w:val="24"/>
                              <w:szCs w:val="24"/>
                            </w:rPr>
                          </w:pPr>
                        </w:p>
                        <w:p w:rsidR="002E78F7" w:rsidRDefault="005F77A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71.95pt;margin-top:14.2pt;width:251pt;height:8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" o:allowincell="f" filled="f" stroked="f">
              <v:textbox inset="0,0,0,0">
                <w:txbxContent>
                  <w:p w:rsidR="002E78F7" w:rsidRDefault="005F77A4">
                    <w:pPr>
                      <w:spacing w:after="0" w:line="1600" w:lineRule="atLeast"/>
                      <w:rPr>
                        <w:rFonts w:ascii="Times New Roman" w:hAnsi="Times New Roman"/>
                        <w:sz w:val="24"/>
                        <w:szCs w:val="24"/>
                      </w:rPr>
                    </w:pPr>
                  </w:p>
                  <w:p w:rsidR="002E78F7" w:rsidRDefault="005F77A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DA6863E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16123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ECC0309"/>
    <w:multiLevelType w:val="multilevel"/>
    <w:tmpl w:val="46C2DF82"/>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AE"/>
    <w:rsid w:val="001E2F7E"/>
    <w:rsid w:val="00285C53"/>
    <w:rsid w:val="002A706E"/>
    <w:rsid w:val="003E35AE"/>
    <w:rsid w:val="004405C7"/>
    <w:rsid w:val="00540C60"/>
    <w:rsid w:val="005F77A4"/>
    <w:rsid w:val="00684EB1"/>
    <w:rsid w:val="007268E0"/>
    <w:rsid w:val="00A71564"/>
    <w:rsid w:val="00C3129A"/>
    <w:rsid w:val="00C42FD7"/>
    <w:rsid w:val="00CF478A"/>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40700"/>
  <w15:chartTrackingRefBased/>
  <w15:docId w15:val="{1ABC1C5A-59BD-4899-865C-FEE2C184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5AE"/>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semiHidden/>
    <w:unhideWhenUsed/>
    <w:qFormat/>
    <w:rsid w:val="003E35AE"/>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684EB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E35AE"/>
    <w:rPr>
      <w:rFonts w:ascii="Times New Roman" w:eastAsiaTheme="majorEastAsia" w:hAnsi="Times New Roman" w:cstheme="majorBidi"/>
      <w:color w:val="365F91" w:themeColor="accent1" w:themeShade="BF"/>
      <w:sz w:val="28"/>
      <w:szCs w:val="28"/>
      <w:lang w:val="en-US"/>
    </w:rPr>
  </w:style>
  <w:style w:type="paragraph" w:styleId="BodyText">
    <w:name w:val="Body Text"/>
    <w:basedOn w:val="Normal"/>
    <w:link w:val="BodyTextChar"/>
    <w:qFormat/>
    <w:rsid w:val="003E35AE"/>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3E35AE"/>
    <w:rPr>
      <w:rFonts w:ascii="Times New Roman" w:hAnsi="Times New Roman"/>
      <w:sz w:val="24"/>
      <w:szCs w:val="24"/>
      <w:lang w:val="en-US"/>
    </w:rPr>
  </w:style>
  <w:style w:type="paragraph" w:customStyle="1" w:styleId="FirstParagraph">
    <w:name w:val="First Paragraph"/>
    <w:basedOn w:val="BodyText"/>
    <w:next w:val="BodyText"/>
    <w:qFormat/>
    <w:rsid w:val="003E35AE"/>
  </w:style>
  <w:style w:type="paragraph" w:customStyle="1" w:styleId="Compact">
    <w:name w:val="Compact"/>
    <w:basedOn w:val="BodyText"/>
    <w:qFormat/>
    <w:rsid w:val="003E35AE"/>
    <w:pPr>
      <w:spacing w:before="36" w:after="36"/>
    </w:pPr>
  </w:style>
  <w:style w:type="table" w:customStyle="1" w:styleId="Table">
    <w:name w:val="Table"/>
    <w:semiHidden/>
    <w:unhideWhenUsed/>
    <w:qFormat/>
    <w:rsid w:val="003E35AE"/>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Heading4Char">
    <w:name w:val="Heading 4 Char"/>
    <w:basedOn w:val="DefaultParagraphFont"/>
    <w:link w:val="Heading4"/>
    <w:uiPriority w:val="9"/>
    <w:semiHidden/>
    <w:rsid w:val="00684EB1"/>
    <w:rPr>
      <w:rFonts w:asciiTheme="majorHAnsi" w:eastAsiaTheme="majorEastAsia" w:hAnsiTheme="majorHAnsi" w:cstheme="majorBidi"/>
      <w:i/>
      <w:iCs/>
      <w:color w:val="365F91" w:themeColor="accent1" w:themeShade="BF"/>
      <w:lang w:eastAsia="en-IN"/>
    </w:rPr>
  </w:style>
  <w:style w:type="character" w:styleId="Hyperlink">
    <w:name w:val="Hyperlink"/>
    <w:basedOn w:val="DefaultParagraphFont"/>
    <w:uiPriority w:val="99"/>
    <w:semiHidden/>
    <w:unhideWhenUsed/>
    <w:rsid w:val="00CF478A"/>
    <w:rPr>
      <w:color w:val="0000FF" w:themeColor="hyperlink"/>
      <w:u w:val="single"/>
    </w:rPr>
  </w:style>
  <w:style w:type="character" w:styleId="PlaceholderText">
    <w:name w:val="Placeholder Text"/>
    <w:basedOn w:val="DefaultParagraphFont"/>
    <w:uiPriority w:val="99"/>
    <w:semiHidden/>
    <w:rsid w:val="00CF47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4180">
      <w:bodyDiv w:val="1"/>
      <w:marLeft w:val="0"/>
      <w:marRight w:val="0"/>
      <w:marTop w:val="0"/>
      <w:marBottom w:val="0"/>
      <w:divBdr>
        <w:top w:val="none" w:sz="0" w:space="0" w:color="auto"/>
        <w:left w:val="none" w:sz="0" w:space="0" w:color="auto"/>
        <w:bottom w:val="none" w:sz="0" w:space="0" w:color="auto"/>
        <w:right w:val="none" w:sz="0" w:space="0" w:color="auto"/>
      </w:divBdr>
    </w:div>
    <w:div w:id="435909600">
      <w:bodyDiv w:val="1"/>
      <w:marLeft w:val="0"/>
      <w:marRight w:val="0"/>
      <w:marTop w:val="0"/>
      <w:marBottom w:val="0"/>
      <w:divBdr>
        <w:top w:val="none" w:sz="0" w:space="0" w:color="auto"/>
        <w:left w:val="none" w:sz="0" w:space="0" w:color="auto"/>
        <w:bottom w:val="none" w:sz="0" w:space="0" w:color="auto"/>
        <w:right w:val="none" w:sz="0" w:space="0" w:color="auto"/>
      </w:divBdr>
      <w:divsChild>
        <w:div w:id="459156343">
          <w:marLeft w:val="0"/>
          <w:marRight w:val="0"/>
          <w:marTop w:val="0"/>
          <w:marBottom w:val="0"/>
          <w:divBdr>
            <w:top w:val="none" w:sz="0" w:space="0" w:color="auto"/>
            <w:left w:val="none" w:sz="0" w:space="0" w:color="auto"/>
            <w:bottom w:val="none" w:sz="0" w:space="0" w:color="auto"/>
            <w:right w:val="none" w:sz="0" w:space="0" w:color="auto"/>
          </w:divBdr>
          <w:divsChild>
            <w:div w:id="1327200168">
              <w:marLeft w:val="0"/>
              <w:marRight w:val="0"/>
              <w:marTop w:val="0"/>
              <w:marBottom w:val="0"/>
              <w:divBdr>
                <w:top w:val="none" w:sz="0" w:space="0" w:color="auto"/>
                <w:left w:val="none" w:sz="0" w:space="0" w:color="auto"/>
                <w:bottom w:val="none" w:sz="0" w:space="0" w:color="auto"/>
                <w:right w:val="none" w:sz="0" w:space="0" w:color="auto"/>
              </w:divBdr>
              <w:divsChild>
                <w:div w:id="490173170">
                  <w:marLeft w:val="0"/>
                  <w:marRight w:val="0"/>
                  <w:marTop w:val="0"/>
                  <w:marBottom w:val="0"/>
                  <w:divBdr>
                    <w:top w:val="none" w:sz="0" w:space="0" w:color="auto"/>
                    <w:left w:val="none" w:sz="0" w:space="0" w:color="auto"/>
                    <w:bottom w:val="none" w:sz="0" w:space="0" w:color="auto"/>
                    <w:right w:val="none" w:sz="0" w:space="0" w:color="auto"/>
                  </w:divBdr>
                  <w:divsChild>
                    <w:div w:id="1539391503">
                      <w:marLeft w:val="0"/>
                      <w:marRight w:val="0"/>
                      <w:marTop w:val="0"/>
                      <w:marBottom w:val="0"/>
                      <w:divBdr>
                        <w:top w:val="none" w:sz="0" w:space="0" w:color="auto"/>
                        <w:left w:val="none" w:sz="0" w:space="0" w:color="auto"/>
                        <w:bottom w:val="none" w:sz="0" w:space="0" w:color="auto"/>
                        <w:right w:val="none" w:sz="0" w:space="0" w:color="auto"/>
                      </w:divBdr>
                      <w:divsChild>
                        <w:div w:id="1040933060">
                          <w:marLeft w:val="0"/>
                          <w:marRight w:val="0"/>
                          <w:marTop w:val="0"/>
                          <w:marBottom w:val="0"/>
                          <w:divBdr>
                            <w:top w:val="none" w:sz="0" w:space="0" w:color="auto"/>
                            <w:left w:val="none" w:sz="0" w:space="0" w:color="auto"/>
                            <w:bottom w:val="none" w:sz="0" w:space="0" w:color="auto"/>
                            <w:right w:val="none" w:sz="0" w:space="0" w:color="auto"/>
                          </w:divBdr>
                          <w:divsChild>
                            <w:div w:id="234048756">
                              <w:marLeft w:val="0"/>
                              <w:marRight w:val="0"/>
                              <w:marTop w:val="0"/>
                              <w:marBottom w:val="0"/>
                              <w:divBdr>
                                <w:top w:val="none" w:sz="0" w:space="0" w:color="auto"/>
                                <w:left w:val="none" w:sz="0" w:space="0" w:color="auto"/>
                                <w:bottom w:val="none" w:sz="0" w:space="0" w:color="auto"/>
                                <w:right w:val="none" w:sz="0" w:space="0" w:color="auto"/>
                              </w:divBdr>
                              <w:divsChild>
                                <w:div w:id="734007754">
                                  <w:marLeft w:val="0"/>
                                  <w:marRight w:val="0"/>
                                  <w:marTop w:val="0"/>
                                  <w:marBottom w:val="0"/>
                                  <w:divBdr>
                                    <w:top w:val="none" w:sz="0" w:space="0" w:color="auto"/>
                                    <w:left w:val="none" w:sz="0" w:space="0" w:color="auto"/>
                                    <w:bottom w:val="none" w:sz="0" w:space="0" w:color="auto"/>
                                    <w:right w:val="none" w:sz="0" w:space="0" w:color="auto"/>
                                  </w:divBdr>
                                  <w:divsChild>
                                    <w:div w:id="1126895481">
                                      <w:marLeft w:val="0"/>
                                      <w:marRight w:val="0"/>
                                      <w:marTop w:val="0"/>
                                      <w:marBottom w:val="0"/>
                                      <w:divBdr>
                                        <w:top w:val="none" w:sz="0" w:space="0" w:color="auto"/>
                                        <w:left w:val="none" w:sz="0" w:space="0" w:color="auto"/>
                                        <w:bottom w:val="none" w:sz="0" w:space="0" w:color="auto"/>
                                        <w:right w:val="none" w:sz="0" w:space="0" w:color="auto"/>
                                      </w:divBdr>
                                      <w:divsChild>
                                        <w:div w:id="1562600380">
                                          <w:marLeft w:val="0"/>
                                          <w:marRight w:val="0"/>
                                          <w:marTop w:val="0"/>
                                          <w:marBottom w:val="0"/>
                                          <w:divBdr>
                                            <w:top w:val="none" w:sz="0" w:space="0" w:color="auto"/>
                                            <w:left w:val="none" w:sz="0" w:space="0" w:color="auto"/>
                                            <w:bottom w:val="none" w:sz="0" w:space="0" w:color="auto"/>
                                            <w:right w:val="none" w:sz="0" w:space="0" w:color="auto"/>
                                          </w:divBdr>
                                          <w:divsChild>
                                            <w:div w:id="547837106">
                                              <w:marLeft w:val="0"/>
                                              <w:marRight w:val="0"/>
                                              <w:marTop w:val="0"/>
                                              <w:marBottom w:val="0"/>
                                              <w:divBdr>
                                                <w:top w:val="none" w:sz="0" w:space="0" w:color="auto"/>
                                                <w:left w:val="none" w:sz="0" w:space="0" w:color="auto"/>
                                                <w:bottom w:val="none" w:sz="0" w:space="0" w:color="auto"/>
                                                <w:right w:val="none" w:sz="0" w:space="0" w:color="auto"/>
                                              </w:divBdr>
                                              <w:divsChild>
                                                <w:div w:id="59250991">
                                                  <w:marLeft w:val="0"/>
                                                  <w:marRight w:val="0"/>
                                                  <w:marTop w:val="0"/>
                                                  <w:marBottom w:val="0"/>
                                                  <w:divBdr>
                                                    <w:top w:val="none" w:sz="0" w:space="0" w:color="auto"/>
                                                    <w:left w:val="none" w:sz="0" w:space="0" w:color="auto"/>
                                                    <w:bottom w:val="none" w:sz="0" w:space="0" w:color="auto"/>
                                                    <w:right w:val="none" w:sz="0" w:space="0" w:color="auto"/>
                                                  </w:divBdr>
                                                  <w:divsChild>
                                                    <w:div w:id="1451120433">
                                                      <w:marLeft w:val="0"/>
                                                      <w:marRight w:val="0"/>
                                                      <w:marTop w:val="0"/>
                                                      <w:marBottom w:val="0"/>
                                                      <w:divBdr>
                                                        <w:top w:val="none" w:sz="0" w:space="0" w:color="auto"/>
                                                        <w:left w:val="none" w:sz="0" w:space="0" w:color="auto"/>
                                                        <w:bottom w:val="none" w:sz="0" w:space="0" w:color="auto"/>
                                                        <w:right w:val="none" w:sz="0" w:space="0" w:color="auto"/>
                                                      </w:divBdr>
                                                      <w:divsChild>
                                                        <w:div w:id="7912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992592">
      <w:bodyDiv w:val="1"/>
      <w:marLeft w:val="0"/>
      <w:marRight w:val="0"/>
      <w:marTop w:val="0"/>
      <w:marBottom w:val="0"/>
      <w:divBdr>
        <w:top w:val="none" w:sz="0" w:space="0" w:color="auto"/>
        <w:left w:val="none" w:sz="0" w:space="0" w:color="auto"/>
        <w:bottom w:val="none" w:sz="0" w:space="0" w:color="auto"/>
        <w:right w:val="none" w:sz="0" w:space="0" w:color="auto"/>
      </w:divBdr>
    </w:div>
    <w:div w:id="1429081874">
      <w:bodyDiv w:val="1"/>
      <w:marLeft w:val="0"/>
      <w:marRight w:val="0"/>
      <w:marTop w:val="0"/>
      <w:marBottom w:val="0"/>
      <w:divBdr>
        <w:top w:val="none" w:sz="0" w:space="0" w:color="auto"/>
        <w:left w:val="none" w:sz="0" w:space="0" w:color="auto"/>
        <w:bottom w:val="none" w:sz="0" w:space="0" w:color="auto"/>
        <w:right w:val="none" w:sz="0" w:space="0" w:color="auto"/>
      </w:divBdr>
    </w:div>
    <w:div w:id="1702974954">
      <w:bodyDiv w:val="1"/>
      <w:marLeft w:val="0"/>
      <w:marRight w:val="0"/>
      <w:marTop w:val="0"/>
      <w:marBottom w:val="0"/>
      <w:divBdr>
        <w:top w:val="none" w:sz="0" w:space="0" w:color="auto"/>
        <w:left w:val="none" w:sz="0" w:space="0" w:color="auto"/>
        <w:bottom w:val="none" w:sz="0" w:space="0" w:color="auto"/>
        <w:right w:val="none" w:sz="0" w:space="0" w:color="auto"/>
      </w:divBdr>
    </w:div>
    <w:div w:id="2040353354">
      <w:bodyDiv w:val="1"/>
      <w:marLeft w:val="0"/>
      <w:marRight w:val="0"/>
      <w:marTop w:val="0"/>
      <w:marBottom w:val="0"/>
      <w:divBdr>
        <w:top w:val="none" w:sz="0" w:space="0" w:color="auto"/>
        <w:left w:val="none" w:sz="0" w:space="0" w:color="auto"/>
        <w:bottom w:val="none" w:sz="0" w:space="0" w:color="auto"/>
        <w:right w:val="none" w:sz="0" w:space="0" w:color="auto"/>
      </w:divBdr>
      <w:divsChild>
        <w:div w:id="192618678">
          <w:marLeft w:val="0"/>
          <w:marRight w:val="0"/>
          <w:marTop w:val="0"/>
          <w:marBottom w:val="0"/>
          <w:divBdr>
            <w:top w:val="none" w:sz="0" w:space="0" w:color="auto"/>
            <w:left w:val="none" w:sz="0" w:space="0" w:color="auto"/>
            <w:bottom w:val="none" w:sz="0" w:space="0" w:color="auto"/>
            <w:right w:val="none" w:sz="0" w:space="0" w:color="auto"/>
          </w:divBdr>
          <w:divsChild>
            <w:div w:id="1101995601">
              <w:marLeft w:val="0"/>
              <w:marRight w:val="0"/>
              <w:marTop w:val="0"/>
              <w:marBottom w:val="0"/>
              <w:divBdr>
                <w:top w:val="none" w:sz="0" w:space="0" w:color="auto"/>
                <w:left w:val="none" w:sz="0" w:space="0" w:color="auto"/>
                <w:bottom w:val="none" w:sz="0" w:space="0" w:color="auto"/>
                <w:right w:val="none" w:sz="0" w:space="0" w:color="auto"/>
              </w:divBdr>
              <w:divsChild>
                <w:div w:id="1953855344">
                  <w:marLeft w:val="0"/>
                  <w:marRight w:val="0"/>
                  <w:marTop w:val="0"/>
                  <w:marBottom w:val="0"/>
                  <w:divBdr>
                    <w:top w:val="none" w:sz="0" w:space="0" w:color="auto"/>
                    <w:left w:val="none" w:sz="0" w:space="0" w:color="auto"/>
                    <w:bottom w:val="none" w:sz="0" w:space="0" w:color="auto"/>
                    <w:right w:val="none" w:sz="0" w:space="0" w:color="auto"/>
                  </w:divBdr>
                  <w:divsChild>
                    <w:div w:id="569271783">
                      <w:marLeft w:val="0"/>
                      <w:marRight w:val="0"/>
                      <w:marTop w:val="0"/>
                      <w:marBottom w:val="0"/>
                      <w:divBdr>
                        <w:top w:val="none" w:sz="0" w:space="0" w:color="auto"/>
                        <w:left w:val="none" w:sz="0" w:space="0" w:color="auto"/>
                        <w:bottom w:val="none" w:sz="0" w:space="0" w:color="auto"/>
                        <w:right w:val="none" w:sz="0" w:space="0" w:color="auto"/>
                      </w:divBdr>
                      <w:divsChild>
                        <w:div w:id="1891648170">
                          <w:marLeft w:val="0"/>
                          <w:marRight w:val="0"/>
                          <w:marTop w:val="0"/>
                          <w:marBottom w:val="0"/>
                          <w:divBdr>
                            <w:top w:val="none" w:sz="0" w:space="0" w:color="auto"/>
                            <w:left w:val="none" w:sz="0" w:space="0" w:color="auto"/>
                            <w:bottom w:val="none" w:sz="0" w:space="0" w:color="auto"/>
                            <w:right w:val="none" w:sz="0" w:space="0" w:color="auto"/>
                          </w:divBdr>
                          <w:divsChild>
                            <w:div w:id="1558710349">
                              <w:marLeft w:val="0"/>
                              <w:marRight w:val="0"/>
                              <w:marTop w:val="0"/>
                              <w:marBottom w:val="0"/>
                              <w:divBdr>
                                <w:top w:val="none" w:sz="0" w:space="0" w:color="auto"/>
                                <w:left w:val="none" w:sz="0" w:space="0" w:color="auto"/>
                                <w:bottom w:val="none" w:sz="0" w:space="0" w:color="auto"/>
                                <w:right w:val="none" w:sz="0" w:space="0" w:color="auto"/>
                              </w:divBdr>
                              <w:divsChild>
                                <w:div w:id="688868310">
                                  <w:marLeft w:val="0"/>
                                  <w:marRight w:val="0"/>
                                  <w:marTop w:val="0"/>
                                  <w:marBottom w:val="0"/>
                                  <w:divBdr>
                                    <w:top w:val="none" w:sz="0" w:space="0" w:color="auto"/>
                                    <w:left w:val="none" w:sz="0" w:space="0" w:color="auto"/>
                                    <w:bottom w:val="none" w:sz="0" w:space="0" w:color="auto"/>
                                    <w:right w:val="none" w:sz="0" w:space="0" w:color="auto"/>
                                  </w:divBdr>
                                  <w:divsChild>
                                    <w:div w:id="279605093">
                                      <w:marLeft w:val="0"/>
                                      <w:marRight w:val="0"/>
                                      <w:marTop w:val="0"/>
                                      <w:marBottom w:val="0"/>
                                      <w:divBdr>
                                        <w:top w:val="none" w:sz="0" w:space="0" w:color="auto"/>
                                        <w:left w:val="none" w:sz="0" w:space="0" w:color="auto"/>
                                        <w:bottom w:val="none" w:sz="0" w:space="0" w:color="auto"/>
                                        <w:right w:val="none" w:sz="0" w:space="0" w:color="auto"/>
                                      </w:divBdr>
                                      <w:divsChild>
                                        <w:div w:id="1895460932">
                                          <w:marLeft w:val="0"/>
                                          <w:marRight w:val="0"/>
                                          <w:marTop w:val="0"/>
                                          <w:marBottom w:val="0"/>
                                          <w:divBdr>
                                            <w:top w:val="none" w:sz="0" w:space="0" w:color="auto"/>
                                            <w:left w:val="none" w:sz="0" w:space="0" w:color="auto"/>
                                            <w:bottom w:val="none" w:sz="0" w:space="0" w:color="auto"/>
                                            <w:right w:val="none" w:sz="0" w:space="0" w:color="auto"/>
                                          </w:divBdr>
                                          <w:divsChild>
                                            <w:div w:id="1734960999">
                                              <w:marLeft w:val="0"/>
                                              <w:marRight w:val="0"/>
                                              <w:marTop w:val="0"/>
                                              <w:marBottom w:val="0"/>
                                              <w:divBdr>
                                                <w:top w:val="none" w:sz="0" w:space="0" w:color="auto"/>
                                                <w:left w:val="none" w:sz="0" w:space="0" w:color="auto"/>
                                                <w:bottom w:val="none" w:sz="0" w:space="0" w:color="auto"/>
                                                <w:right w:val="none" w:sz="0" w:space="0" w:color="auto"/>
                                              </w:divBdr>
                                              <w:divsChild>
                                                <w:div w:id="1621260706">
                                                  <w:marLeft w:val="0"/>
                                                  <w:marRight w:val="0"/>
                                                  <w:marTop w:val="0"/>
                                                  <w:marBottom w:val="0"/>
                                                  <w:divBdr>
                                                    <w:top w:val="none" w:sz="0" w:space="0" w:color="auto"/>
                                                    <w:left w:val="none" w:sz="0" w:space="0" w:color="auto"/>
                                                    <w:bottom w:val="none" w:sz="0" w:space="0" w:color="auto"/>
                                                    <w:right w:val="none" w:sz="0" w:space="0" w:color="auto"/>
                                                  </w:divBdr>
                                                  <w:divsChild>
                                                    <w:div w:id="1391075266">
                                                      <w:marLeft w:val="0"/>
                                                      <w:marRight w:val="0"/>
                                                      <w:marTop w:val="0"/>
                                                      <w:marBottom w:val="0"/>
                                                      <w:divBdr>
                                                        <w:top w:val="none" w:sz="0" w:space="0" w:color="auto"/>
                                                        <w:left w:val="none" w:sz="0" w:space="0" w:color="auto"/>
                                                        <w:bottom w:val="none" w:sz="0" w:space="0" w:color="auto"/>
                                                        <w:right w:val="none" w:sz="0" w:space="0" w:color="auto"/>
                                                      </w:divBdr>
                                                      <w:divsChild>
                                                        <w:div w:id="8077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08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1027</Words>
  <Characters>5860</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Ans 1.</vt:lpstr>
      <vt:lpstr>        Expected Return and Risk Calculation for Global Energy Corp.</vt:lpstr>
      <vt:lpstr>        Step 1: Expected Return Calculation</vt:lpstr>
      <vt:lpstr>        Step 2: Variance and Standard Deviation Calculation (Risk Measurement)</vt:lpstr>
      <vt:lpstr>        Conclusion</vt:lpstr>
      <vt:lpstr>        Ans 2.</vt:lpstr>
      <vt:lpstr>        (a) Bond Valuation Calculation</vt:lpstr>
      <vt:lpstr>        Step 1: Calculate Annual Coupon Payment</vt:lpstr>
      <vt:lpstr>        Step 2: Compute Present Value of Coupon Payments</vt:lpstr>
      <vt:lpstr>        Step 3: Compute Present Value of Face Value</vt:lpstr>
      <vt:lpstr>        Step 4: Calculate Total Bond Value</vt:lpstr>
      <vt:lpstr>        Final Answer</vt:lpstr>
      <vt:lpstr>        Ans 3.</vt:lpstr>
      <vt:lpstr>        (a) Expected Return Using CAPM</vt:lpstr>
      <vt:lpstr>        (b) Efficient Market Hypothesis (EMH)</vt:lpstr>
      <vt:lpstr>        b)</vt:lpstr>
      <vt:lpstr>        Step 1: Calculate Contribution of Each Stock to Portfolio Return</vt:lpstr>
      <vt:lpstr>        Step 2: Calculate Total Expected Portfolio Return</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2025-01-31T21:32:00Z</dcterms:created>
  <dcterms:modified xsi:type="dcterms:W3CDTF">2025-02-01T06:26:00Z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7bf703e9c62822a0a4b30637ccc3042df2d91dd4f5ccf683398e7736dba5ab09</vt:lpwstr>
  </property>
</Properties>
</file>