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1" w:type="pct"/>
        <w:tblCellMar>
          <w:left w:w="0" w:type="dxa"/>
          <w:right w:w="0" w:type="dxa"/>
        </w:tblCellMar>
        <w:tblLook w:val="0000" w:firstRow="0" w:lastRow="0" w:firstColumn="0" w:lastColumn="0" w:noHBand="0" w:noVBand="0"/>
      </w:tblPr>
      <w:tblGrid>
        <w:gridCol w:w="3259"/>
        <w:gridCol w:w="5765"/>
      </w:tblGrid>
      <w:tr w:rsidR="00C43613" w:rsidRPr="00022B65" w:rsidTr="00780434">
        <w:trPr>
          <w:trHeight w:val="383"/>
        </w:trPr>
        <w:tc>
          <w:tcPr>
            <w:tcW w:w="1806" w:type="pct"/>
            <w:tcBorders>
              <w:top w:val="single" w:sz="4" w:space="0" w:color="000000"/>
              <w:left w:val="single" w:sz="4" w:space="0" w:color="000000"/>
              <w:bottom w:val="single" w:sz="4" w:space="0" w:color="000000"/>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r w:rsidRPr="00022B65">
              <w:rPr>
                <w:rFonts w:ascii="Times New Roman" w:hAnsi="Times New Roman"/>
                <w:b/>
                <w:sz w:val="24"/>
                <w:szCs w:val="24"/>
              </w:rPr>
              <w:t>SESSION</w:t>
            </w:r>
          </w:p>
        </w:tc>
        <w:tc>
          <w:tcPr>
            <w:tcW w:w="3194" w:type="pct"/>
            <w:tcBorders>
              <w:top w:val="single" w:sz="4" w:space="0" w:color="000000"/>
              <w:left w:val="single" w:sz="4" w:space="0" w:color="000000"/>
              <w:bottom w:val="single" w:sz="4" w:space="0" w:color="000000"/>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r w:rsidRPr="00022B65">
              <w:rPr>
                <w:rFonts w:ascii="Times New Roman" w:hAnsi="Times New Roman"/>
                <w:b/>
                <w:sz w:val="24"/>
                <w:szCs w:val="24"/>
              </w:rPr>
              <w:t>JULY-AUG 2024</w:t>
            </w:r>
          </w:p>
        </w:tc>
      </w:tr>
      <w:tr w:rsidR="00C43613" w:rsidRPr="00022B65" w:rsidTr="00780434">
        <w:trPr>
          <w:trHeight w:val="383"/>
        </w:trPr>
        <w:tc>
          <w:tcPr>
            <w:tcW w:w="1806" w:type="pct"/>
            <w:tcBorders>
              <w:top w:val="single" w:sz="4" w:space="0" w:color="000000"/>
              <w:left w:val="single" w:sz="4" w:space="0" w:color="000000"/>
              <w:bottom w:val="single" w:sz="4" w:space="0" w:color="000000"/>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r w:rsidRPr="00022B65">
              <w:rPr>
                <w:rFonts w:ascii="Times New Roman" w:hAnsi="Times New Roman"/>
                <w:b/>
                <w:sz w:val="24"/>
                <w:szCs w:val="24"/>
              </w:rPr>
              <w:t>PROGRAM</w:t>
            </w:r>
          </w:p>
        </w:tc>
        <w:tc>
          <w:tcPr>
            <w:tcW w:w="3194" w:type="pct"/>
            <w:tcBorders>
              <w:top w:val="single" w:sz="4" w:space="0" w:color="000000"/>
              <w:left w:val="single" w:sz="4" w:space="0" w:color="000000"/>
              <w:bottom w:val="single" w:sz="4" w:space="0" w:color="000000"/>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r w:rsidRPr="00022B65">
              <w:rPr>
                <w:rFonts w:ascii="Times New Roman" w:hAnsi="Times New Roman"/>
                <w:b/>
                <w:sz w:val="24"/>
                <w:szCs w:val="24"/>
              </w:rPr>
              <w:t>MASTER OF COMMERCE (M.COM)</w:t>
            </w:r>
          </w:p>
        </w:tc>
      </w:tr>
      <w:tr w:rsidR="00C43613" w:rsidRPr="00022B65" w:rsidTr="00780434">
        <w:trPr>
          <w:trHeight w:val="383"/>
        </w:trPr>
        <w:tc>
          <w:tcPr>
            <w:tcW w:w="1806" w:type="pct"/>
            <w:tcBorders>
              <w:top w:val="single" w:sz="4" w:space="0" w:color="000000"/>
              <w:left w:val="single" w:sz="4" w:space="0" w:color="000000"/>
              <w:bottom w:val="single" w:sz="4" w:space="0" w:color="000000"/>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r w:rsidRPr="00022B65">
              <w:rPr>
                <w:rFonts w:ascii="Times New Roman" w:hAnsi="Times New Roman"/>
                <w:b/>
                <w:sz w:val="24"/>
                <w:szCs w:val="24"/>
              </w:rPr>
              <w:t>SEMESTER</w:t>
            </w:r>
          </w:p>
        </w:tc>
        <w:tc>
          <w:tcPr>
            <w:tcW w:w="3194" w:type="pct"/>
            <w:tcBorders>
              <w:top w:val="single" w:sz="4" w:space="0" w:color="000000"/>
              <w:left w:val="single" w:sz="4" w:space="0" w:color="000000"/>
              <w:bottom w:val="single" w:sz="4" w:space="0" w:color="000000"/>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r w:rsidRPr="00022B65">
              <w:rPr>
                <w:rFonts w:ascii="Times New Roman" w:hAnsi="Times New Roman"/>
                <w:b/>
                <w:sz w:val="24"/>
                <w:szCs w:val="24"/>
              </w:rPr>
              <w:t>III</w:t>
            </w:r>
          </w:p>
        </w:tc>
      </w:tr>
      <w:tr w:rsidR="00C43613" w:rsidRPr="00022B65" w:rsidTr="00780434">
        <w:trPr>
          <w:trHeight w:val="383"/>
        </w:trPr>
        <w:tc>
          <w:tcPr>
            <w:tcW w:w="1806" w:type="pct"/>
            <w:tcBorders>
              <w:top w:val="single" w:sz="4" w:space="0" w:color="000000"/>
              <w:left w:val="single" w:sz="4" w:space="0" w:color="000000"/>
              <w:bottom w:val="single" w:sz="4" w:space="0" w:color="000000"/>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r w:rsidRPr="00022B65">
              <w:rPr>
                <w:rFonts w:ascii="Times New Roman" w:hAnsi="Times New Roman"/>
                <w:b/>
                <w:sz w:val="24"/>
                <w:szCs w:val="24"/>
              </w:rPr>
              <w:t>COURSE CODE &amp; NAME</w:t>
            </w:r>
          </w:p>
        </w:tc>
        <w:tc>
          <w:tcPr>
            <w:tcW w:w="3194" w:type="pct"/>
            <w:tcBorders>
              <w:top w:val="single" w:sz="4" w:space="0" w:color="000000"/>
              <w:left w:val="single" w:sz="4" w:space="0" w:color="000000"/>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r w:rsidRPr="00022B65">
              <w:rPr>
                <w:rFonts w:ascii="Times New Roman" w:hAnsi="Times New Roman"/>
                <w:b/>
                <w:sz w:val="24"/>
                <w:szCs w:val="24"/>
              </w:rPr>
              <w:t>DCM7104 CORPORATE TAX LAWS AND PLANNING</w:t>
            </w:r>
          </w:p>
        </w:tc>
      </w:tr>
      <w:tr w:rsidR="00C43613" w:rsidRPr="00022B65" w:rsidTr="00780434">
        <w:trPr>
          <w:trHeight w:val="383"/>
        </w:trPr>
        <w:tc>
          <w:tcPr>
            <w:tcW w:w="1806" w:type="pct"/>
            <w:tcBorders>
              <w:top w:val="single" w:sz="4" w:space="0" w:color="000000"/>
              <w:left w:val="single" w:sz="4" w:space="0" w:color="000000"/>
              <w:bottom w:val="single" w:sz="4" w:space="0" w:color="000000"/>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p>
        </w:tc>
        <w:tc>
          <w:tcPr>
            <w:tcW w:w="3194" w:type="pct"/>
            <w:tcBorders>
              <w:top w:val="single" w:sz="4" w:space="0" w:color="000000"/>
              <w:left w:val="single" w:sz="4" w:space="0" w:color="000000"/>
              <w:bottom w:val="single" w:sz="4" w:space="0" w:color="000000"/>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p>
        </w:tc>
      </w:tr>
      <w:tr w:rsidR="00C43613" w:rsidRPr="00022B65" w:rsidTr="00780434">
        <w:trPr>
          <w:trHeight w:val="383"/>
        </w:trPr>
        <w:tc>
          <w:tcPr>
            <w:tcW w:w="1806" w:type="pct"/>
            <w:tcBorders>
              <w:top w:val="single" w:sz="4" w:space="0" w:color="000000"/>
              <w:left w:val="single" w:sz="4" w:space="0" w:color="000000"/>
              <w:bottom w:val="nil"/>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p>
        </w:tc>
        <w:tc>
          <w:tcPr>
            <w:tcW w:w="3194" w:type="pct"/>
            <w:tcBorders>
              <w:top w:val="single" w:sz="4" w:space="0" w:color="000000"/>
              <w:left w:val="single" w:sz="4" w:space="0" w:color="000000"/>
              <w:bottom w:val="nil"/>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p>
        </w:tc>
      </w:tr>
      <w:tr w:rsidR="00C43613" w:rsidRPr="00022B65" w:rsidTr="00780434">
        <w:trPr>
          <w:trHeight w:val="383"/>
        </w:trPr>
        <w:tc>
          <w:tcPr>
            <w:tcW w:w="1806" w:type="pct"/>
            <w:tcBorders>
              <w:top w:val="nil"/>
              <w:left w:val="single" w:sz="4" w:space="0" w:color="000000"/>
              <w:bottom w:val="single" w:sz="4" w:space="0" w:color="000000"/>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p>
        </w:tc>
        <w:tc>
          <w:tcPr>
            <w:tcW w:w="3194" w:type="pct"/>
            <w:tcBorders>
              <w:top w:val="nil"/>
              <w:left w:val="single" w:sz="4" w:space="0" w:color="000000"/>
              <w:bottom w:val="single" w:sz="4" w:space="0" w:color="000000"/>
              <w:right w:val="single" w:sz="4" w:space="0" w:color="000000"/>
            </w:tcBorders>
          </w:tcPr>
          <w:p w:rsidR="00C43613" w:rsidRPr="00022B65" w:rsidRDefault="00C43613" w:rsidP="00780434">
            <w:pPr>
              <w:spacing w:after="0" w:line="360" w:lineRule="auto"/>
              <w:jc w:val="both"/>
              <w:rPr>
                <w:rFonts w:ascii="Times New Roman" w:hAnsi="Times New Roman"/>
                <w:b/>
                <w:sz w:val="24"/>
                <w:szCs w:val="24"/>
              </w:rPr>
            </w:pPr>
          </w:p>
        </w:tc>
      </w:tr>
    </w:tbl>
    <w:p w:rsidR="00C43613" w:rsidRPr="00022B65" w:rsidRDefault="00C43613" w:rsidP="00C43613">
      <w:pPr>
        <w:spacing w:line="360" w:lineRule="auto"/>
        <w:jc w:val="both"/>
        <w:rPr>
          <w:rFonts w:ascii="Times New Roman" w:hAnsi="Times New Roman"/>
          <w:b/>
          <w:sz w:val="24"/>
          <w:szCs w:val="24"/>
        </w:rPr>
      </w:pP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ab/>
      </w:r>
      <w:r w:rsidRPr="00022B65">
        <w:rPr>
          <w:rFonts w:ascii="Times New Roman" w:hAnsi="Times New Roman"/>
          <w:b/>
          <w:sz w:val="24"/>
          <w:szCs w:val="24"/>
        </w:rPr>
        <w:tab/>
      </w:r>
      <w:r w:rsidRPr="00022B65">
        <w:rPr>
          <w:rFonts w:ascii="Times New Roman" w:hAnsi="Times New Roman"/>
          <w:b/>
          <w:sz w:val="24"/>
          <w:szCs w:val="24"/>
        </w:rPr>
        <w:tab/>
      </w:r>
      <w:r w:rsidRPr="00022B65">
        <w:rPr>
          <w:rFonts w:ascii="Times New Roman" w:hAnsi="Times New Roman"/>
          <w:b/>
          <w:sz w:val="24"/>
          <w:szCs w:val="24"/>
        </w:rPr>
        <w:tab/>
      </w:r>
      <w:r w:rsidRPr="00022B65">
        <w:rPr>
          <w:rFonts w:ascii="Times New Roman" w:hAnsi="Times New Roman"/>
          <w:b/>
          <w:sz w:val="24"/>
          <w:szCs w:val="24"/>
        </w:rPr>
        <w:tab/>
      </w:r>
    </w:p>
    <w:p w:rsidR="00C43613" w:rsidRPr="00022B65" w:rsidRDefault="00C43613" w:rsidP="00C43613">
      <w:pPr>
        <w:spacing w:line="360" w:lineRule="auto"/>
        <w:jc w:val="center"/>
        <w:rPr>
          <w:rFonts w:ascii="Times New Roman" w:hAnsi="Times New Roman"/>
          <w:b/>
          <w:sz w:val="24"/>
          <w:szCs w:val="24"/>
        </w:rPr>
      </w:pPr>
      <w:r w:rsidRPr="00022B65">
        <w:rPr>
          <w:rFonts w:ascii="Times New Roman" w:hAnsi="Times New Roman"/>
          <w:b/>
          <w:sz w:val="24"/>
          <w:szCs w:val="24"/>
        </w:rPr>
        <w:t>Set – 1</w:t>
      </w:r>
    </w:p>
    <w:p w:rsidR="00C43613" w:rsidRPr="00022B65" w:rsidRDefault="00C43613" w:rsidP="00C43613">
      <w:pPr>
        <w:spacing w:line="360" w:lineRule="auto"/>
        <w:jc w:val="both"/>
        <w:rPr>
          <w:rFonts w:ascii="Times New Roman" w:hAnsi="Times New Roman"/>
          <w:b/>
          <w:sz w:val="24"/>
          <w:szCs w:val="24"/>
        </w:rPr>
      </w:pPr>
    </w:p>
    <w:p w:rsidR="00C43613" w:rsidRPr="00022B65" w:rsidRDefault="00C43613" w:rsidP="00C43613">
      <w:pPr>
        <w:spacing w:line="360" w:lineRule="auto"/>
        <w:jc w:val="both"/>
        <w:rPr>
          <w:rFonts w:ascii="Times New Roman" w:hAnsi="Times New Roman"/>
          <w:b/>
          <w:sz w:val="24"/>
          <w:szCs w:val="24"/>
        </w:rPr>
      </w:pP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 xml:space="preserve">Q 1. </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(A) Specify with brief reason, whether the following acts can be considered as an act of (i) Tax management; or (ii</w:t>
      </w:r>
      <w:proofErr w:type="gramStart"/>
      <w:r w:rsidRPr="00022B65">
        <w:rPr>
          <w:rFonts w:ascii="Times New Roman" w:hAnsi="Times New Roman"/>
          <w:b/>
          <w:sz w:val="24"/>
          <w:szCs w:val="24"/>
        </w:rPr>
        <w:t>)  Tax</w:t>
      </w:r>
      <w:proofErr w:type="gramEnd"/>
      <w:r w:rsidRPr="00022B65">
        <w:rPr>
          <w:rFonts w:ascii="Times New Roman" w:hAnsi="Times New Roman"/>
          <w:b/>
          <w:sz w:val="24"/>
          <w:szCs w:val="24"/>
        </w:rPr>
        <w:t xml:space="preserve"> planning; or (iii) Tax evasion; or (iv) Tax avoidance:</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 xml:space="preserve">1. To reduce tax payable, Sunil Varma an individual, paid ₹ 55,000 as of life </w:t>
      </w:r>
      <w:proofErr w:type="gramStart"/>
      <w:r w:rsidRPr="00022B65">
        <w:rPr>
          <w:rFonts w:ascii="Times New Roman" w:hAnsi="Times New Roman"/>
          <w:b/>
          <w:sz w:val="24"/>
          <w:szCs w:val="24"/>
        </w:rPr>
        <w:t>insurance  premium</w:t>
      </w:r>
      <w:proofErr w:type="gramEnd"/>
      <w:r w:rsidRPr="00022B65">
        <w:rPr>
          <w:rFonts w:ascii="Times New Roman" w:hAnsi="Times New Roman"/>
          <w:b/>
          <w:sz w:val="24"/>
          <w:szCs w:val="24"/>
        </w:rPr>
        <w:t xml:space="preserve"> on the policy of his minor son.</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 xml:space="preserve">2. A foreign company has an Indian subsidiary that is selling its product to the </w:t>
      </w:r>
      <w:proofErr w:type="gramStart"/>
      <w:r w:rsidRPr="00022B65">
        <w:rPr>
          <w:rFonts w:ascii="Times New Roman" w:hAnsi="Times New Roman"/>
          <w:b/>
          <w:sz w:val="24"/>
          <w:szCs w:val="24"/>
        </w:rPr>
        <w:t>parent  company</w:t>
      </w:r>
      <w:proofErr w:type="gramEnd"/>
      <w:r w:rsidRPr="00022B65">
        <w:rPr>
          <w:rFonts w:ascii="Times New Roman" w:hAnsi="Times New Roman"/>
          <w:b/>
          <w:sz w:val="24"/>
          <w:szCs w:val="24"/>
        </w:rPr>
        <w:t xml:space="preserve"> at a price of</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 100 per unit while the same product is sold to another foreign company at ₹ 200 per unit.</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 xml:space="preserve">3. A company is claiming depreciation on the motor car which is being used </w:t>
      </w:r>
      <w:proofErr w:type="gramStart"/>
      <w:r w:rsidRPr="00022B65">
        <w:rPr>
          <w:rFonts w:ascii="Times New Roman" w:hAnsi="Times New Roman"/>
          <w:b/>
          <w:sz w:val="24"/>
          <w:szCs w:val="24"/>
        </w:rPr>
        <w:t>by  the</w:t>
      </w:r>
      <w:proofErr w:type="gramEnd"/>
      <w:r w:rsidRPr="00022B65">
        <w:rPr>
          <w:rFonts w:ascii="Times New Roman" w:hAnsi="Times New Roman"/>
          <w:b/>
          <w:sz w:val="24"/>
          <w:szCs w:val="24"/>
        </w:rPr>
        <w:t xml:space="preserve"> director for personal purposes.</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 xml:space="preserve">4. Installation of Air Conditioner costing ₹ 75,000 at the residence of the </w:t>
      </w:r>
      <w:proofErr w:type="gramStart"/>
      <w:r w:rsidRPr="00022B65">
        <w:rPr>
          <w:rFonts w:ascii="Times New Roman" w:hAnsi="Times New Roman"/>
          <w:b/>
          <w:sz w:val="24"/>
          <w:szCs w:val="24"/>
        </w:rPr>
        <w:t>Director  as</w:t>
      </w:r>
      <w:proofErr w:type="gramEnd"/>
      <w:r w:rsidRPr="00022B65">
        <w:rPr>
          <w:rFonts w:ascii="Times New Roman" w:hAnsi="Times New Roman"/>
          <w:b/>
          <w:sz w:val="24"/>
          <w:szCs w:val="24"/>
        </w:rPr>
        <w:t xml:space="preserve"> per terms of appointment but treating it as Plant installed in Quality Control Section in the factory.</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5. Mr. D is a working partner in a firm, and he is entitled to a salary of ₹ 30,000 per month.  He treats this as salary instead of business income.</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lastRenderedPageBreak/>
        <w:t>(B) Explain the necessity of tax planning. Also explain the type of Tax Planning.</w:t>
      </w:r>
    </w:p>
    <w:p w:rsidR="00C43613" w:rsidRPr="00022B65" w:rsidRDefault="00C43613" w:rsidP="00C43613">
      <w:pPr>
        <w:spacing w:line="360" w:lineRule="auto"/>
        <w:jc w:val="both"/>
        <w:rPr>
          <w:rFonts w:ascii="Times New Roman" w:hAnsi="Times New Roman"/>
          <w:b/>
          <w:bCs/>
          <w:sz w:val="24"/>
          <w:szCs w:val="24"/>
        </w:rPr>
      </w:pPr>
      <w:r w:rsidRPr="00022B65">
        <w:rPr>
          <w:rFonts w:ascii="Times New Roman" w:hAnsi="Times New Roman"/>
          <w:b/>
          <w:bCs/>
          <w:sz w:val="24"/>
          <w:szCs w:val="24"/>
        </w:rPr>
        <w:t>Ans 1.</w:t>
      </w:r>
    </w:p>
    <w:p w:rsidR="00C43613" w:rsidRPr="00022B65" w:rsidRDefault="00C43613" w:rsidP="00C43613">
      <w:pPr>
        <w:spacing w:line="360" w:lineRule="auto"/>
        <w:jc w:val="both"/>
        <w:rPr>
          <w:rFonts w:ascii="Times New Roman" w:hAnsi="Times New Roman"/>
          <w:b/>
          <w:bCs/>
          <w:sz w:val="24"/>
          <w:szCs w:val="24"/>
        </w:rPr>
      </w:pPr>
      <w:r w:rsidRPr="00022B65">
        <w:rPr>
          <w:rFonts w:ascii="Times New Roman" w:hAnsi="Times New Roman"/>
          <w:b/>
          <w:bCs/>
          <w:sz w:val="24"/>
          <w:szCs w:val="24"/>
        </w:rPr>
        <w:t xml:space="preserve">A. </w:t>
      </w:r>
      <w:r w:rsidRPr="00022B65">
        <w:rPr>
          <w:rFonts w:ascii="Times New Roman" w:eastAsiaTheme="minorEastAsia" w:hAnsi="Times New Roman"/>
          <w:b/>
          <w:bCs/>
          <w:sz w:val="24"/>
          <w:szCs w:val="24"/>
        </w:rPr>
        <w:t>Classification of Tax Practices with Justification</w:t>
      </w:r>
    </w:p>
    <w:p w:rsidR="00C43613" w:rsidRPr="00022B65" w:rsidRDefault="00C43613" w:rsidP="00C43613">
      <w:pPr>
        <w:spacing w:line="360" w:lineRule="auto"/>
        <w:jc w:val="both"/>
        <w:rPr>
          <w:rFonts w:ascii="Times New Roman" w:hAnsi="Times New Roman"/>
          <w:sz w:val="24"/>
          <w:szCs w:val="24"/>
        </w:rPr>
        <w:sectPr w:rsidR="00C43613" w:rsidRPr="00022B65" w:rsidSect="005A03A9">
          <w:pgSz w:w="11920" w:h="16840"/>
          <w:pgMar w:top="1440" w:right="1430" w:bottom="1440" w:left="1440" w:header="284" w:footer="0" w:gutter="0"/>
          <w:cols w:space="720" w:equalWidth="0">
            <w:col w:w="9050" w:space="720"/>
          </w:cols>
          <w:noEndnote/>
          <w:docGrid w:linePitch="299"/>
        </w:sectPr>
      </w:pPr>
    </w:p>
    <w:p w:rsidR="00C43613" w:rsidRPr="00022B65" w:rsidRDefault="00C43613" w:rsidP="00C43613">
      <w:pPr>
        <w:spacing w:line="360" w:lineRule="auto"/>
        <w:jc w:val="both"/>
        <w:rPr>
          <w:rFonts w:ascii="Times New Roman" w:hAnsi="Times New Roman"/>
          <w:sz w:val="24"/>
          <w:szCs w:val="24"/>
        </w:rPr>
      </w:pPr>
      <w:r w:rsidRPr="00022B65">
        <w:rPr>
          <w:rFonts w:ascii="Times New Roman" w:hAnsi="Times New Roman"/>
          <w:sz w:val="24"/>
          <w:szCs w:val="24"/>
        </w:rPr>
        <w:t xml:space="preserve">Taxation involves various strategies and practices that businesses and individuals adopt to either minimize tax liability or unlawfully evade taxes. The given cases can be categorized into </w:t>
      </w:r>
      <w:r w:rsidRPr="00022B65">
        <w:rPr>
          <w:rFonts w:ascii="Times New Roman" w:eastAsiaTheme="minorEastAsia" w:hAnsi="Times New Roman"/>
          <w:b/>
          <w:bCs/>
          <w:sz w:val="24"/>
          <w:szCs w:val="24"/>
        </w:rPr>
        <w:t>Tax Management, Tax Planning, Tax Avoidance, or Tax Evasion</w:t>
      </w:r>
      <w:r w:rsidRPr="00022B65">
        <w:rPr>
          <w:rFonts w:ascii="Times New Roman" w:hAnsi="Times New Roman"/>
          <w:sz w:val="24"/>
          <w:szCs w:val="24"/>
        </w:rPr>
        <w:t xml:space="preserve"> based on their nature.</w:t>
      </w:r>
    </w:p>
    <w:p w:rsidR="00C43613" w:rsidRPr="00022B65" w:rsidRDefault="00C43613" w:rsidP="00C43613">
      <w:pPr>
        <w:spacing w:line="360" w:lineRule="auto"/>
        <w:jc w:val="both"/>
        <w:rPr>
          <w:rFonts w:ascii="Times New Roman" w:hAnsi="Times New Roman"/>
          <w:b/>
          <w:bCs/>
          <w:sz w:val="24"/>
          <w:szCs w:val="24"/>
        </w:rPr>
      </w:pPr>
      <w:r w:rsidRPr="00022B65">
        <w:rPr>
          <w:rFonts w:ascii="Times New Roman" w:eastAsiaTheme="minorEastAsia" w:hAnsi="Times New Roman"/>
          <w:b/>
          <w:bCs/>
          <w:sz w:val="24"/>
          <w:szCs w:val="24"/>
        </w:rPr>
        <w:t>1. Payment of Life Insurance Premium for a Minor Son – Tax Planning</w:t>
      </w:r>
    </w:p>
    <w:p w:rsidR="00C43613" w:rsidRPr="005A03A9" w:rsidRDefault="00C43613" w:rsidP="00AA5AB1">
      <w:pPr>
        <w:spacing w:line="360" w:lineRule="auto"/>
        <w:jc w:val="both"/>
        <w:rPr>
          <w:rFonts w:ascii="Times New Roman" w:hAnsi="Times New Roman"/>
          <w:sz w:val="24"/>
          <w:szCs w:val="24"/>
        </w:rPr>
      </w:pPr>
      <w:r w:rsidRPr="00022B65">
        <w:rPr>
          <w:rFonts w:ascii="Times New Roman" w:hAnsi="Times New Roman"/>
          <w:sz w:val="24"/>
          <w:szCs w:val="24"/>
        </w:rPr>
        <w:t xml:space="preserve">Sunil Varma’s decision to pay ₹ 55,000 as a life insurance premium on his minor son’s policy is an act of </w:t>
      </w:r>
      <w:r w:rsidRPr="00022B65">
        <w:rPr>
          <w:rFonts w:ascii="Times New Roman" w:eastAsiaTheme="minorEastAsia" w:hAnsi="Times New Roman"/>
          <w:b/>
          <w:bCs/>
          <w:sz w:val="24"/>
          <w:szCs w:val="24"/>
        </w:rPr>
        <w:t>Tax Planning</w:t>
      </w:r>
      <w:r w:rsidRPr="00022B65">
        <w:rPr>
          <w:rFonts w:ascii="Times New Roman" w:hAnsi="Times New Roman"/>
          <w:sz w:val="24"/>
          <w:szCs w:val="24"/>
        </w:rPr>
        <w:t xml:space="preserve">. Tax planning involves making legitimate financial decisions to reduce tax liability within the framework of the law. Under </w:t>
      </w:r>
      <w:r w:rsidRPr="00022B65">
        <w:rPr>
          <w:rFonts w:ascii="Times New Roman" w:eastAsiaTheme="minorEastAsia" w:hAnsi="Times New Roman"/>
          <w:b/>
          <w:bCs/>
          <w:sz w:val="24"/>
          <w:szCs w:val="24"/>
        </w:rPr>
        <w:t xml:space="preserve">Section 80C of the Income Tax </w:t>
      </w:r>
    </w:p>
    <w:p w:rsidR="00AA5AB1" w:rsidRDefault="00AA5AB1" w:rsidP="00AA5AB1">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AA5AB1" w:rsidRDefault="00AA5AB1" w:rsidP="00AA5AB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AA5AB1" w:rsidRDefault="00AA5AB1" w:rsidP="00AA5AB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A5AB1" w:rsidRDefault="00AA5AB1" w:rsidP="00AA5AB1">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AA5AB1" w:rsidRDefault="00AA5AB1" w:rsidP="00AA5AB1">
      <w:pPr>
        <w:spacing w:before="240" w:after="240"/>
        <w:jc w:val="center"/>
        <w:rPr>
          <w:rFonts w:ascii="Georgia" w:hAnsi="Georgia"/>
          <w:sz w:val="32"/>
          <w:szCs w:val="32"/>
        </w:rPr>
      </w:pPr>
      <w:r>
        <w:rPr>
          <w:rFonts w:ascii="Georgia" w:hAnsi="Georgia"/>
          <w:sz w:val="32"/>
          <w:szCs w:val="32"/>
        </w:rPr>
        <w:t>buy cheap assignment help online from us easily</w:t>
      </w:r>
    </w:p>
    <w:p w:rsidR="00AA5AB1" w:rsidRDefault="00AA5AB1" w:rsidP="00AA5AB1">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AA5AB1" w:rsidRDefault="00AA5AB1" w:rsidP="00AA5AB1">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A5AB1" w:rsidRDefault="00AA5AB1" w:rsidP="00AA5AB1">
      <w:pPr>
        <w:spacing w:before="240" w:after="240"/>
        <w:jc w:val="center"/>
        <w:rPr>
          <w:rFonts w:ascii="Georgia" w:hAnsi="Georgia"/>
          <w:b/>
          <w:sz w:val="32"/>
          <w:szCs w:val="32"/>
        </w:rPr>
      </w:pPr>
      <w:r>
        <w:rPr>
          <w:rFonts w:ascii="Georgia" w:hAnsi="Georgia"/>
          <w:b/>
          <w:sz w:val="32"/>
          <w:szCs w:val="32"/>
        </w:rPr>
        <w:t>OR</w:t>
      </w:r>
    </w:p>
    <w:p w:rsidR="00AA5AB1" w:rsidRDefault="00AA5AB1" w:rsidP="00AA5AB1">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AA5AB1" w:rsidRDefault="00AA5AB1" w:rsidP="00AA5AB1">
      <w:pPr>
        <w:spacing w:before="240" w:after="240"/>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C43613" w:rsidRPr="00022B65" w:rsidRDefault="00C43613" w:rsidP="00C43613">
      <w:pPr>
        <w:spacing w:line="360" w:lineRule="auto"/>
        <w:jc w:val="both"/>
        <w:rPr>
          <w:rFonts w:ascii="Times New Roman" w:hAnsi="Times New Roman"/>
          <w:sz w:val="24"/>
          <w:szCs w:val="24"/>
        </w:rPr>
      </w:pPr>
    </w:p>
    <w:p w:rsidR="00C43613" w:rsidRPr="00022B65" w:rsidRDefault="00C43613" w:rsidP="00C43613">
      <w:pPr>
        <w:spacing w:line="360" w:lineRule="auto"/>
        <w:jc w:val="both"/>
        <w:rPr>
          <w:rFonts w:ascii="Times New Roman" w:hAnsi="Times New Roman"/>
          <w:sz w:val="24"/>
          <w:szCs w:val="24"/>
        </w:rPr>
      </w:pP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 xml:space="preserve">Q2A.   The taxable income of SGRCS Pvt ltd. computed as per the provisions </w:t>
      </w:r>
      <w:proofErr w:type="gramStart"/>
      <w:r w:rsidRPr="00022B65">
        <w:rPr>
          <w:rFonts w:ascii="Times New Roman" w:hAnsi="Times New Roman"/>
          <w:b/>
          <w:sz w:val="24"/>
          <w:szCs w:val="24"/>
        </w:rPr>
        <w:t>of  Income</w:t>
      </w:r>
      <w:proofErr w:type="gramEnd"/>
      <w:r w:rsidRPr="00022B65">
        <w:rPr>
          <w:rFonts w:ascii="Times New Roman" w:hAnsi="Times New Roman"/>
          <w:b/>
          <w:sz w:val="24"/>
          <w:szCs w:val="24"/>
        </w:rPr>
        <w:t xml:space="preserve">-tax Act is Rs. 28,40,000. Book profit of the company computed as per the </w:t>
      </w:r>
      <w:proofErr w:type="gramStart"/>
      <w:r w:rsidRPr="00022B65">
        <w:rPr>
          <w:rFonts w:ascii="Times New Roman" w:hAnsi="Times New Roman"/>
          <w:b/>
          <w:sz w:val="24"/>
          <w:szCs w:val="24"/>
        </w:rPr>
        <w:t>provisions  of</w:t>
      </w:r>
      <w:proofErr w:type="gramEnd"/>
      <w:r w:rsidRPr="00022B65">
        <w:rPr>
          <w:rFonts w:ascii="Times New Roman" w:hAnsi="Times New Roman"/>
          <w:b/>
          <w:sz w:val="24"/>
          <w:szCs w:val="24"/>
        </w:rPr>
        <w:t xml:space="preserve"> section 115JB is Rs. 18,80,000. Determine what will the will be the tax liability of SGRCS Pvt ltd. (ignore cess and surcharge)?</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 xml:space="preserve">B. Explain the various reliefs available to the assesses to avoid double taxation </w:t>
      </w:r>
      <w:proofErr w:type="gramStart"/>
      <w:r w:rsidRPr="00022B65">
        <w:rPr>
          <w:rFonts w:ascii="Times New Roman" w:hAnsi="Times New Roman"/>
          <w:b/>
          <w:sz w:val="24"/>
          <w:szCs w:val="24"/>
        </w:rPr>
        <w:t>under  Sections</w:t>
      </w:r>
      <w:proofErr w:type="gramEnd"/>
      <w:r w:rsidRPr="00022B65">
        <w:rPr>
          <w:rFonts w:ascii="Times New Roman" w:hAnsi="Times New Roman"/>
          <w:b/>
          <w:sz w:val="24"/>
          <w:szCs w:val="24"/>
        </w:rPr>
        <w:t xml:space="preserve"> 90 and 91 of the Income Tax Act 1961.</w:t>
      </w:r>
    </w:p>
    <w:p w:rsidR="00C43613" w:rsidRPr="00022B65" w:rsidRDefault="00C43613" w:rsidP="00C43613">
      <w:pPr>
        <w:pStyle w:val="Heading3"/>
        <w:spacing w:line="360" w:lineRule="auto"/>
        <w:jc w:val="both"/>
        <w:rPr>
          <w:sz w:val="24"/>
          <w:szCs w:val="24"/>
        </w:rPr>
      </w:pPr>
      <w:bookmarkStart w:id="0" w:name="Xa78ba24b9e0c5c025bdcd6b6293308aaf5c2436"/>
      <w:r w:rsidRPr="00022B65">
        <w:rPr>
          <w:sz w:val="24"/>
          <w:szCs w:val="24"/>
        </w:rPr>
        <w:t>Ans 2.</w:t>
      </w:r>
    </w:p>
    <w:p w:rsidR="00C43613" w:rsidRPr="00022B65" w:rsidRDefault="00C43613" w:rsidP="00C43613">
      <w:pPr>
        <w:pStyle w:val="Heading3"/>
        <w:spacing w:line="360" w:lineRule="auto"/>
        <w:jc w:val="both"/>
        <w:rPr>
          <w:sz w:val="24"/>
          <w:szCs w:val="24"/>
        </w:rPr>
      </w:pPr>
      <w:r w:rsidRPr="00022B65">
        <w:rPr>
          <w:sz w:val="24"/>
          <w:szCs w:val="24"/>
        </w:rPr>
        <w:t>(A) Tax Liability Calculation for SGRCS Pvt Ltd.</w:t>
      </w:r>
    </w:p>
    <w:p w:rsidR="00C43613" w:rsidRPr="00022B65" w:rsidRDefault="00C43613" w:rsidP="00C43613">
      <w:pPr>
        <w:pStyle w:val="FirstParagraph"/>
        <w:spacing w:line="360" w:lineRule="auto"/>
        <w:jc w:val="both"/>
      </w:pPr>
      <w:r w:rsidRPr="00022B65">
        <w:t xml:space="preserve">The tax liability of </w:t>
      </w:r>
      <w:r w:rsidRPr="00022B65">
        <w:rPr>
          <w:b/>
          <w:bCs/>
        </w:rPr>
        <w:t>SGRCS Pvt Ltd.</w:t>
      </w:r>
      <w:r w:rsidRPr="00022B65">
        <w:t xml:space="preserve"> is determined based on two methods:</w:t>
      </w:r>
    </w:p>
    <w:p w:rsidR="00C43613" w:rsidRPr="00022B65" w:rsidRDefault="00C43613" w:rsidP="00C43613">
      <w:pPr>
        <w:numPr>
          <w:ilvl w:val="0"/>
          <w:numId w:val="1"/>
        </w:numPr>
        <w:spacing w:after="200" w:line="360" w:lineRule="auto"/>
        <w:jc w:val="both"/>
        <w:rPr>
          <w:rFonts w:ascii="Times New Roman" w:hAnsi="Times New Roman"/>
          <w:sz w:val="24"/>
          <w:szCs w:val="24"/>
        </w:rPr>
      </w:pPr>
      <w:r w:rsidRPr="00022B65">
        <w:rPr>
          <w:rFonts w:ascii="Times New Roman" w:hAnsi="Times New Roman"/>
          <w:b/>
          <w:bCs/>
          <w:sz w:val="24"/>
          <w:szCs w:val="24"/>
        </w:rPr>
        <w:t>Normal Tax Calculation</w:t>
      </w:r>
      <w:r w:rsidRPr="00022B65">
        <w:rPr>
          <w:rFonts w:ascii="Times New Roman" w:hAnsi="Times New Roman"/>
          <w:sz w:val="24"/>
          <w:szCs w:val="24"/>
        </w:rPr>
        <w:t xml:space="preserve"> (as per Income Tax Act provisions)</w:t>
      </w:r>
    </w:p>
    <w:p w:rsidR="00C43613" w:rsidRPr="00022B65" w:rsidRDefault="00C43613" w:rsidP="00C43613">
      <w:pPr>
        <w:pStyle w:val="Compact"/>
        <w:numPr>
          <w:ilvl w:val="1"/>
          <w:numId w:val="2"/>
        </w:numPr>
        <w:spacing w:line="360" w:lineRule="auto"/>
        <w:jc w:val="both"/>
      </w:pPr>
      <w:r w:rsidRPr="00022B65">
        <w:t>Taxable Income = ₹ 28,40,000</w:t>
      </w:r>
    </w:p>
    <w:p w:rsidR="00C43613" w:rsidRPr="00022B65" w:rsidRDefault="00C43613" w:rsidP="00C43613">
      <w:pPr>
        <w:pStyle w:val="Compact"/>
        <w:numPr>
          <w:ilvl w:val="1"/>
          <w:numId w:val="2"/>
        </w:numPr>
        <w:spacing w:line="360" w:lineRule="auto"/>
        <w:jc w:val="both"/>
      </w:pPr>
      <w:r w:rsidRPr="00022B65">
        <w:rPr>
          <w:b/>
          <w:bCs/>
        </w:rPr>
        <w:t>Corporate Tax Rate</w:t>
      </w:r>
      <w:r w:rsidRPr="00022B65">
        <w:t xml:space="preserve"> (for domestic companies with turnover &lt; ₹ 400 Cr) = </w:t>
      </w:r>
      <w:r w:rsidRPr="00022B65">
        <w:rPr>
          <w:b/>
          <w:bCs/>
        </w:rPr>
        <w:t>25%</w:t>
      </w:r>
    </w:p>
    <w:p w:rsidR="00C43613" w:rsidRPr="00022B65" w:rsidRDefault="00C43613" w:rsidP="00C43613">
      <w:pPr>
        <w:pStyle w:val="Compact"/>
        <w:numPr>
          <w:ilvl w:val="1"/>
          <w:numId w:val="2"/>
        </w:numPr>
        <w:spacing w:line="360" w:lineRule="auto"/>
        <w:jc w:val="both"/>
      </w:pPr>
      <w:r w:rsidRPr="00022B65">
        <w:t xml:space="preserve">Tax under normal provisions = </w:t>
      </w:r>
      <w:r w:rsidRPr="00022B65">
        <w:rPr>
          <w:b/>
          <w:bCs/>
        </w:rPr>
        <w:t>₹ 28,40,000 × 25% = ₹ 7,10,000</w:t>
      </w:r>
    </w:p>
    <w:p w:rsidR="00C43613" w:rsidRPr="00022B65" w:rsidRDefault="00C43613" w:rsidP="00C43613">
      <w:pPr>
        <w:numPr>
          <w:ilvl w:val="0"/>
          <w:numId w:val="1"/>
        </w:numPr>
        <w:spacing w:after="200" w:line="360" w:lineRule="auto"/>
        <w:jc w:val="both"/>
        <w:rPr>
          <w:rFonts w:ascii="Times New Roman" w:hAnsi="Times New Roman"/>
          <w:sz w:val="24"/>
          <w:szCs w:val="24"/>
        </w:rPr>
      </w:pPr>
      <w:r w:rsidRPr="00022B65">
        <w:rPr>
          <w:rFonts w:ascii="Times New Roman" w:hAnsi="Times New Roman"/>
          <w:b/>
          <w:bCs/>
          <w:sz w:val="24"/>
          <w:szCs w:val="24"/>
        </w:rPr>
        <w:t>Minimum Alternate Tax (MAT) Calculation</w:t>
      </w:r>
      <w:r w:rsidRPr="00022B65">
        <w:rPr>
          <w:rFonts w:ascii="Times New Roman" w:hAnsi="Times New Roman"/>
          <w:sz w:val="24"/>
          <w:szCs w:val="24"/>
        </w:rPr>
        <w:t xml:space="preserve"> (as per Section 115JB)</w:t>
      </w:r>
    </w:p>
    <w:p w:rsidR="00C43613" w:rsidRPr="00022B65" w:rsidRDefault="00C43613" w:rsidP="00C43613">
      <w:pPr>
        <w:pStyle w:val="Compact"/>
        <w:numPr>
          <w:ilvl w:val="1"/>
          <w:numId w:val="2"/>
        </w:numPr>
        <w:spacing w:line="360" w:lineRule="auto"/>
        <w:jc w:val="both"/>
      </w:pPr>
      <w:r w:rsidRPr="00022B65">
        <w:t>Book Profit = ₹ 18,80,000</w:t>
      </w:r>
    </w:p>
    <w:bookmarkEnd w:id="0"/>
    <w:p w:rsidR="00AA5AB1" w:rsidRDefault="00AA5AB1" w:rsidP="00C43613">
      <w:pPr>
        <w:spacing w:line="360" w:lineRule="auto"/>
        <w:jc w:val="both"/>
        <w:rPr>
          <w:rFonts w:ascii="Times New Roman" w:hAnsi="Times New Roman"/>
          <w:b/>
          <w:sz w:val="24"/>
          <w:szCs w:val="24"/>
        </w:rPr>
      </w:pPr>
    </w:p>
    <w:p w:rsidR="00AA5AB1" w:rsidRDefault="00AA5AB1" w:rsidP="00C43613">
      <w:pPr>
        <w:spacing w:line="360" w:lineRule="auto"/>
        <w:jc w:val="both"/>
        <w:rPr>
          <w:rFonts w:ascii="Times New Roman" w:hAnsi="Times New Roman"/>
          <w:b/>
          <w:sz w:val="24"/>
          <w:szCs w:val="24"/>
        </w:rPr>
      </w:pP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 xml:space="preserve">Q3. (A) A corporation is looking to raise Rs. 80 Lakhs to fund a project that </w:t>
      </w:r>
      <w:proofErr w:type="gramStart"/>
      <w:r w:rsidRPr="00022B65">
        <w:rPr>
          <w:rFonts w:ascii="Times New Roman" w:hAnsi="Times New Roman"/>
          <w:b/>
          <w:sz w:val="24"/>
          <w:szCs w:val="24"/>
        </w:rPr>
        <w:t>will  result</w:t>
      </w:r>
      <w:proofErr w:type="gramEnd"/>
      <w:r w:rsidRPr="00022B65">
        <w:rPr>
          <w:rFonts w:ascii="Times New Roman" w:hAnsi="Times New Roman"/>
          <w:b/>
          <w:sz w:val="24"/>
          <w:szCs w:val="24"/>
        </w:rPr>
        <w:t xml:space="preserve"> in pre-tax earnings equal to 30% of the total amount of capital utilized.  The corporation could raise debt financing at a rate of 15% per year. The company can raise funds through any one of the following three possible options:</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1. Rs. 80 lakhs in equity capital,</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2. Rs. 40 lakhs in loans, and Rs. 40 lakhs in equity capital</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3. 15 lakhs rupees in equity capital and 65 lakhs rupees in loans.</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Assume that the business will distribute all profits and dividends. The tax levy is 50%.  Determine which of the three options the corporation should choose to reduce its tax liability.</w:t>
      </w:r>
    </w:p>
    <w:p w:rsidR="00C43613" w:rsidRPr="00022B65" w:rsidRDefault="00C43613" w:rsidP="00C43613">
      <w:pPr>
        <w:spacing w:line="360" w:lineRule="auto"/>
        <w:jc w:val="both"/>
        <w:rPr>
          <w:rFonts w:ascii="Times New Roman" w:hAnsi="Times New Roman"/>
          <w:b/>
          <w:sz w:val="24"/>
          <w:szCs w:val="24"/>
        </w:rPr>
      </w:pPr>
      <w:r w:rsidRPr="00022B65">
        <w:rPr>
          <w:rFonts w:ascii="Times New Roman" w:hAnsi="Times New Roman"/>
          <w:b/>
          <w:sz w:val="24"/>
          <w:szCs w:val="24"/>
        </w:rPr>
        <w:t>(B) What are areas of tax planning with reference to the Industrial Undertaking.</w:t>
      </w:r>
    </w:p>
    <w:p w:rsidR="00C43613" w:rsidRPr="00022B65" w:rsidRDefault="00C43613" w:rsidP="00C43613">
      <w:pPr>
        <w:pStyle w:val="Heading3"/>
        <w:spacing w:before="0" w:line="360" w:lineRule="auto"/>
        <w:jc w:val="both"/>
        <w:rPr>
          <w:sz w:val="24"/>
          <w:szCs w:val="24"/>
        </w:rPr>
      </w:pPr>
      <w:bookmarkStart w:id="1" w:name="Xd78ba7ae0d31bf6f59fd2891c00f1e60170b958"/>
      <w:r w:rsidRPr="00022B65">
        <w:rPr>
          <w:sz w:val="24"/>
          <w:szCs w:val="24"/>
        </w:rPr>
        <w:t>Ans 3.</w:t>
      </w:r>
    </w:p>
    <w:p w:rsidR="00C43613" w:rsidRPr="00022B65" w:rsidRDefault="00C43613" w:rsidP="00C43613">
      <w:pPr>
        <w:pStyle w:val="Heading3"/>
        <w:spacing w:before="0" w:line="360" w:lineRule="auto"/>
        <w:jc w:val="both"/>
        <w:rPr>
          <w:sz w:val="24"/>
          <w:szCs w:val="24"/>
        </w:rPr>
      </w:pPr>
      <w:r w:rsidRPr="00022B65">
        <w:rPr>
          <w:sz w:val="24"/>
          <w:szCs w:val="24"/>
        </w:rPr>
        <w:t>(A) Best Financing Option to Reduce Tax Liability</w:t>
      </w:r>
    </w:p>
    <w:p w:rsidR="00C43613" w:rsidRPr="00022B65" w:rsidRDefault="00C43613" w:rsidP="00C43613">
      <w:pPr>
        <w:pStyle w:val="FirstParagraph"/>
        <w:spacing w:before="0" w:after="80" w:line="360" w:lineRule="auto"/>
        <w:jc w:val="both"/>
      </w:pPr>
      <w:r w:rsidRPr="00022B65">
        <w:t>When a corporation decides to raise capital, it must consider the tax implications of different financing options. Interest paid on debt is a deductible expense, reducing taxable income and ultimately lowering tax liability.</w:t>
      </w:r>
    </w:p>
    <w:p w:rsidR="00C43613" w:rsidRPr="00022B65" w:rsidRDefault="00C43613" w:rsidP="00C43613">
      <w:pPr>
        <w:pStyle w:val="BodyText"/>
        <w:spacing w:before="0" w:after="80" w:line="360" w:lineRule="auto"/>
        <w:jc w:val="both"/>
      </w:pPr>
      <w:r w:rsidRPr="00022B65">
        <w:t>Given that the corporation needs to raise ₹80 lakhs and expects pre-tax earnings of 30% on the total capital, the calculations for tax liability under the three financing options are as follows:</w:t>
      </w:r>
    </w:p>
    <w:bookmarkEnd w:id="1"/>
    <w:p w:rsidR="00C43613" w:rsidRDefault="00C43613" w:rsidP="00C43613">
      <w:pPr>
        <w:spacing w:line="360" w:lineRule="auto"/>
        <w:jc w:val="center"/>
        <w:rPr>
          <w:rFonts w:ascii="Times New Roman" w:hAnsi="Times New Roman"/>
          <w:b/>
          <w:sz w:val="24"/>
          <w:szCs w:val="24"/>
        </w:rPr>
      </w:pPr>
    </w:p>
    <w:p w:rsidR="00AA5AB1" w:rsidRPr="00C43613" w:rsidRDefault="00AA5AB1" w:rsidP="00C43613">
      <w:pPr>
        <w:spacing w:line="360" w:lineRule="auto"/>
        <w:jc w:val="center"/>
        <w:rPr>
          <w:rFonts w:ascii="Times New Roman" w:hAnsi="Times New Roman"/>
          <w:b/>
          <w:sz w:val="24"/>
          <w:szCs w:val="24"/>
        </w:rPr>
      </w:pPr>
    </w:p>
    <w:p w:rsidR="00C43613" w:rsidRPr="00C43613" w:rsidRDefault="00C43613" w:rsidP="00C43613">
      <w:pPr>
        <w:spacing w:line="360" w:lineRule="auto"/>
        <w:jc w:val="center"/>
        <w:rPr>
          <w:rFonts w:ascii="Times New Roman" w:hAnsi="Times New Roman"/>
          <w:b/>
          <w:sz w:val="24"/>
          <w:szCs w:val="24"/>
        </w:rPr>
      </w:pPr>
      <w:r w:rsidRPr="00C43613">
        <w:rPr>
          <w:rFonts w:ascii="Times New Roman" w:hAnsi="Times New Roman"/>
          <w:b/>
          <w:sz w:val="24"/>
          <w:szCs w:val="24"/>
        </w:rPr>
        <w:t>Set – 2</w:t>
      </w:r>
    </w:p>
    <w:p w:rsidR="00C43613" w:rsidRPr="00C43613" w:rsidRDefault="00C43613" w:rsidP="00C43613">
      <w:pPr>
        <w:spacing w:line="360" w:lineRule="auto"/>
        <w:jc w:val="both"/>
        <w:rPr>
          <w:rFonts w:ascii="Times New Roman" w:hAnsi="Times New Roman"/>
          <w:b/>
          <w:sz w:val="24"/>
          <w:szCs w:val="24"/>
        </w:rPr>
      </w:pPr>
    </w:p>
    <w:p w:rsidR="00C43613" w:rsidRPr="00C43613" w:rsidRDefault="00C43613" w:rsidP="00C43613">
      <w:pPr>
        <w:spacing w:line="360" w:lineRule="auto"/>
        <w:jc w:val="both"/>
        <w:rPr>
          <w:rFonts w:ascii="Times New Roman" w:hAnsi="Times New Roman"/>
          <w:b/>
          <w:sz w:val="24"/>
          <w:szCs w:val="24"/>
        </w:rPr>
      </w:pP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 xml:space="preserve">4. Mr. Kumar (a resident) purchased a house in December 2006 for Rs. 8,56,200 </w:t>
      </w:r>
      <w:proofErr w:type="gramStart"/>
      <w:r w:rsidRPr="00C43613">
        <w:rPr>
          <w:rFonts w:ascii="Times New Roman" w:hAnsi="Times New Roman"/>
          <w:b/>
          <w:sz w:val="24"/>
          <w:szCs w:val="24"/>
        </w:rPr>
        <w:t>and  incurred</w:t>
      </w:r>
      <w:proofErr w:type="gramEnd"/>
      <w:r w:rsidRPr="00C43613">
        <w:rPr>
          <w:rFonts w:ascii="Times New Roman" w:hAnsi="Times New Roman"/>
          <w:b/>
          <w:sz w:val="24"/>
          <w:szCs w:val="24"/>
        </w:rPr>
        <w:t xml:space="preserve"> a cost of improvement of Rs 2,00,000 in year 2010 and sold the same, in  April 2024 for Rs. 76,20,000 (brokerage Rs. 20,000). He purchased another house for Rs 400,00,000 in Dec 2024. </w:t>
      </w: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Cost inflation index number:                    Previous year</w:t>
      </w: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117                                                           2005-06</w:t>
      </w: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122                                                           2006-07</w:t>
      </w: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167                                                           2010-11</w:t>
      </w: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301                                                           2023-24</w:t>
      </w: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317                                                           2024-25</w:t>
      </w: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Answer following questions:</w:t>
      </w: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(a) Determine the nature of capital gain?</w:t>
      </w: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(b) Determine the amount of capital gain?</w:t>
      </w: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(c) Determine the Capital gain tax liability in this transaction?</w:t>
      </w: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(d) Can he claim the option of not availing of the indexation and paying tax @ 10% on the capital gain?</w:t>
      </w: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(e) Specify the amount he can claim as exemption U/s 54.</w:t>
      </w:r>
    </w:p>
    <w:p w:rsidR="00C43613" w:rsidRPr="00C43613" w:rsidRDefault="00C43613" w:rsidP="00C43613">
      <w:pPr>
        <w:spacing w:line="360" w:lineRule="auto"/>
        <w:jc w:val="both"/>
        <w:rPr>
          <w:rFonts w:ascii="Times New Roman" w:hAnsi="Times New Roman"/>
          <w:b/>
          <w:sz w:val="24"/>
          <w:szCs w:val="24"/>
        </w:rPr>
      </w:pPr>
      <w:r w:rsidRPr="00C43613">
        <w:rPr>
          <w:rFonts w:ascii="Times New Roman" w:hAnsi="Times New Roman"/>
          <w:b/>
          <w:sz w:val="24"/>
          <w:szCs w:val="24"/>
        </w:rPr>
        <w:t>Ans 4.</w:t>
      </w:r>
    </w:p>
    <w:p w:rsidR="00C43613" w:rsidRPr="00AC6980" w:rsidRDefault="00C43613" w:rsidP="00C43613">
      <w:pPr>
        <w:pStyle w:val="Heading3"/>
        <w:spacing w:line="360" w:lineRule="auto"/>
        <w:jc w:val="both"/>
        <w:rPr>
          <w:sz w:val="24"/>
          <w:szCs w:val="24"/>
        </w:rPr>
      </w:pPr>
      <w:bookmarkStart w:id="2" w:name="capital-gain-computation-for-mr.-kumar"/>
      <w:r w:rsidRPr="00AC6980">
        <w:rPr>
          <w:sz w:val="24"/>
          <w:szCs w:val="24"/>
        </w:rPr>
        <w:t>Capital Gain Computation for Mr. Kumar</w:t>
      </w:r>
    </w:p>
    <w:p w:rsidR="00C43613" w:rsidRPr="00AC6980" w:rsidRDefault="00C43613" w:rsidP="00C43613">
      <w:pPr>
        <w:pStyle w:val="FirstParagraph"/>
        <w:spacing w:line="360" w:lineRule="auto"/>
        <w:jc w:val="both"/>
      </w:pPr>
      <w:r w:rsidRPr="00AC6980">
        <w:t xml:space="preserve">Mr. Kumar sold a house property in April 2024, which he had purchased in December 2006. Since the holding period of the property is </w:t>
      </w:r>
      <w:r w:rsidRPr="00AC6980">
        <w:rPr>
          <w:b/>
          <w:bCs/>
        </w:rPr>
        <w:t>more than 24 months</w:t>
      </w:r>
      <w:r w:rsidRPr="00AC6980">
        <w:t xml:space="preserve">, it qualifies as a </w:t>
      </w:r>
      <w:r w:rsidRPr="00AC6980">
        <w:rPr>
          <w:b/>
          <w:bCs/>
        </w:rPr>
        <w:t>Long-Term Capital Asset</w:t>
      </w:r>
      <w:r w:rsidRPr="00AC6980">
        <w:t xml:space="preserve">, and the gain arising from the sale is a </w:t>
      </w:r>
      <w:r w:rsidRPr="00AC6980">
        <w:rPr>
          <w:b/>
          <w:bCs/>
        </w:rPr>
        <w:t>Long-Term Capital Gain (LTCG).</w:t>
      </w:r>
    </w:p>
    <w:p w:rsidR="00C43613" w:rsidRPr="00AC6980" w:rsidRDefault="00C43613" w:rsidP="00C43613">
      <w:pPr>
        <w:pStyle w:val="Heading3"/>
        <w:spacing w:line="360" w:lineRule="auto"/>
        <w:jc w:val="both"/>
        <w:rPr>
          <w:sz w:val="24"/>
          <w:szCs w:val="24"/>
        </w:rPr>
      </w:pPr>
      <w:bookmarkStart w:id="3" w:name="a-nature-of-capital-gain"/>
      <w:bookmarkEnd w:id="2"/>
      <w:r w:rsidRPr="00AC6980">
        <w:rPr>
          <w:sz w:val="24"/>
          <w:szCs w:val="24"/>
        </w:rPr>
        <w:t>(A) Nature of Capital Gain</w:t>
      </w:r>
    </w:p>
    <w:p w:rsidR="00C43613" w:rsidRPr="00AC6980" w:rsidRDefault="00C43613" w:rsidP="00C43613">
      <w:pPr>
        <w:pStyle w:val="FirstParagraph"/>
        <w:spacing w:line="360" w:lineRule="auto"/>
        <w:jc w:val="both"/>
      </w:pPr>
      <w:r w:rsidRPr="00AC6980">
        <w:t xml:space="preserve">Since the property was held for more than </w:t>
      </w:r>
      <w:r w:rsidRPr="00AC6980">
        <w:rPr>
          <w:b/>
          <w:bCs/>
        </w:rPr>
        <w:t>2 years (24 months)</w:t>
      </w:r>
      <w:r w:rsidRPr="00AC6980">
        <w:t xml:space="preserve"> before the sale, the gain is categorized as a </w:t>
      </w:r>
      <w:r w:rsidRPr="00AC6980">
        <w:rPr>
          <w:b/>
          <w:bCs/>
        </w:rPr>
        <w:t>Long-Term Capital Gain (LTCG).</w:t>
      </w:r>
    </w:p>
    <w:p w:rsidR="00C43613" w:rsidRPr="00AC6980" w:rsidRDefault="00C43613" w:rsidP="00C43613">
      <w:pPr>
        <w:pStyle w:val="Heading3"/>
        <w:spacing w:line="360" w:lineRule="auto"/>
        <w:jc w:val="both"/>
        <w:rPr>
          <w:sz w:val="24"/>
          <w:szCs w:val="24"/>
        </w:rPr>
      </w:pPr>
      <w:bookmarkStart w:id="4" w:name="X697e81317e636e1fa541acced98f5e9ff735fd0"/>
      <w:bookmarkEnd w:id="3"/>
      <w:r w:rsidRPr="00AC6980">
        <w:rPr>
          <w:sz w:val="24"/>
          <w:szCs w:val="24"/>
        </w:rPr>
        <w:t>(B) Computation of Long-Term Capital Gain (LTCG)</w:t>
      </w:r>
    </w:p>
    <w:p w:rsidR="00C43613" w:rsidRPr="00AC6980" w:rsidRDefault="00C43613" w:rsidP="00C43613">
      <w:pPr>
        <w:pStyle w:val="Heading4"/>
        <w:spacing w:line="360" w:lineRule="auto"/>
        <w:jc w:val="both"/>
        <w:rPr>
          <w:rFonts w:ascii="Times New Roman" w:hAnsi="Times New Roman" w:cs="Times New Roman"/>
          <w:sz w:val="24"/>
          <w:szCs w:val="24"/>
        </w:rPr>
      </w:pPr>
      <w:bookmarkStart w:id="5" w:name="X3a6fbd3ec9d3e99dc49164134107ca42adc74f2"/>
      <w:r w:rsidRPr="00AC6980">
        <w:rPr>
          <w:rFonts w:ascii="Times New Roman" w:hAnsi="Times New Roman" w:cs="Times New Roman"/>
          <w:sz w:val="24"/>
          <w:szCs w:val="24"/>
        </w:rPr>
        <w:t>Step 1: Compute Indexed Cost of Acquisition (ICOA)</w:t>
      </w:r>
    </w:p>
    <w:p w:rsidR="00C43613" w:rsidRPr="00AC6980" w:rsidRDefault="00C43613" w:rsidP="00C43613">
      <w:pPr>
        <w:pStyle w:val="FirstParagraph"/>
        <w:spacing w:line="360" w:lineRule="auto"/>
        <w:jc w:val="both"/>
      </w:pPr>
      <m:oMathPara>
        <m:oMathParaPr>
          <m:jc m:val="center"/>
        </m:oMathParaPr>
        <m:oMath>
          <m:r>
            <m:rPr>
              <m:nor/>
            </m:rPr>
            <m:t>ICOA</m:t>
          </m:r>
          <m:r>
            <m:rPr>
              <m:sty m:val="p"/>
            </m:rPr>
            <w:rPr>
              <w:rFonts w:ascii="Cambria Math" w:hAnsi="Cambria Math"/>
            </w:rPr>
            <m:t>=</m:t>
          </m:r>
          <m:f>
            <m:fPr>
              <m:ctrlPr>
                <w:rPr>
                  <w:rFonts w:ascii="Cambria Math" w:hAnsi="Cambria Math"/>
                </w:rPr>
              </m:ctrlPr>
            </m:fPr>
            <m:num>
              <m:r>
                <m:rPr>
                  <m:nor/>
                </m:rPr>
                <m:t>Original Cost of Acquisition</m:t>
              </m:r>
              <m:r>
                <m:rPr>
                  <m:sty m:val="p"/>
                </m:rPr>
                <w:rPr>
                  <w:rFonts w:ascii="Cambria Math" w:hAnsi="Cambria Math"/>
                </w:rPr>
                <m:t>×</m:t>
              </m:r>
              <m:r>
                <m:rPr>
                  <m:nor/>
                </m:rPr>
                <m:t>CII of Sale Year</m:t>
              </m:r>
            </m:num>
            <m:den>
              <m:r>
                <m:rPr>
                  <m:nor/>
                </m:rPr>
                <m:t>CII of Purchase Year</m:t>
              </m:r>
            </m:den>
          </m:f>
        </m:oMath>
      </m:oMathPara>
    </w:p>
    <w:p w:rsidR="00C43613" w:rsidRPr="00AC6980" w:rsidRDefault="00C43613" w:rsidP="00C43613">
      <w:pPr>
        <w:pStyle w:val="FirstParagraph"/>
        <w:spacing w:line="360" w:lineRule="auto"/>
        <w:jc w:val="both"/>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8</m:t>
              </m:r>
              <m:r>
                <m:rPr>
                  <m:sty m:val="p"/>
                </m:rPr>
                <w:rPr>
                  <w:rFonts w:ascii="Cambria Math" w:hAnsi="Cambria Math"/>
                </w:rPr>
                <m:t>,</m:t>
              </m:r>
              <m:r>
                <w:rPr>
                  <w:rFonts w:ascii="Cambria Math" w:hAnsi="Cambria Math"/>
                </w:rPr>
                <m:t>56</m:t>
              </m:r>
              <m:r>
                <m:rPr>
                  <m:sty m:val="p"/>
                </m:rPr>
                <w:rPr>
                  <w:rFonts w:ascii="Cambria Math" w:hAnsi="Cambria Math"/>
                </w:rPr>
                <m:t>,</m:t>
              </m:r>
              <m:r>
                <w:rPr>
                  <w:rFonts w:ascii="Cambria Math" w:hAnsi="Cambria Math"/>
                </w:rPr>
                <m:t>200</m:t>
              </m:r>
              <m:r>
                <m:rPr>
                  <m:sty m:val="p"/>
                </m:rPr>
                <w:rPr>
                  <w:rFonts w:ascii="Cambria Math" w:hAnsi="Cambria Math"/>
                </w:rPr>
                <m:t>×</m:t>
              </m:r>
              <m:r>
                <w:rPr>
                  <w:rFonts w:ascii="Cambria Math" w:hAnsi="Cambria Math"/>
                </w:rPr>
                <m:t>301</m:t>
              </m:r>
            </m:num>
            <m:den>
              <m:r>
                <w:rPr>
                  <w:rFonts w:ascii="Cambria Math" w:hAnsi="Cambria Math"/>
                </w:rPr>
                <m:t>122</m:t>
              </m:r>
            </m:den>
          </m:f>
        </m:oMath>
      </m:oMathPara>
    </w:p>
    <w:p w:rsidR="00C43613" w:rsidRPr="00AC6980" w:rsidRDefault="00C43613" w:rsidP="00C43613">
      <w:pPr>
        <w:pStyle w:val="FirstParagraph"/>
        <w:spacing w:line="360" w:lineRule="auto"/>
        <w:jc w:val="both"/>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2</m:t>
              </m:r>
              <m:r>
                <m:rPr>
                  <m:sty m:val="p"/>
                </m:rPr>
                <w:rPr>
                  <w:rFonts w:ascii="Cambria Math" w:hAnsi="Cambria Math"/>
                </w:rPr>
                <m:t>,</m:t>
              </m:r>
              <m:r>
                <w:rPr>
                  <w:rFonts w:ascii="Cambria Math" w:hAnsi="Cambria Math"/>
                </w:rPr>
                <m:t>57</m:t>
              </m:r>
              <m:r>
                <m:rPr>
                  <m:sty m:val="p"/>
                </m:rPr>
                <w:rPr>
                  <w:rFonts w:ascii="Cambria Math" w:hAnsi="Cambria Math"/>
                </w:rPr>
                <m:t>,</m:t>
              </m:r>
              <m:r>
                <w:rPr>
                  <w:rFonts w:ascii="Cambria Math" w:hAnsi="Cambria Math"/>
                </w:rPr>
                <m:t>616</m:t>
              </m:r>
              <m:r>
                <m:rPr>
                  <m:sty m:val="p"/>
                </m:rPr>
                <w:rPr>
                  <w:rFonts w:ascii="Cambria Math" w:hAnsi="Cambria Math"/>
                </w:rPr>
                <m:t>,</m:t>
              </m:r>
              <m:r>
                <w:rPr>
                  <w:rFonts w:ascii="Cambria Math" w:hAnsi="Cambria Math"/>
                </w:rPr>
                <m:t>200</m:t>
              </m:r>
            </m:num>
            <m:den>
              <m:r>
                <w:rPr>
                  <w:rFonts w:ascii="Cambria Math" w:hAnsi="Cambria Math"/>
                </w:rPr>
                <m:t>122</m:t>
              </m:r>
            </m:den>
          </m:f>
          <m:r>
            <m:rPr>
              <m:sty m:val="p"/>
            </m:rPr>
            <w:rPr>
              <w:rFonts w:ascii="Cambria Math" w:hAnsi="Cambria Math"/>
            </w:rPr>
            <m:t>=</m:t>
          </m:r>
          <m:r>
            <w:rPr>
              <w:rFonts w:ascii="Cambria Math" w:hAnsi="Cambria Math"/>
            </w:rPr>
            <m:t>21</m:t>
          </m:r>
          <m:r>
            <m:rPr>
              <m:sty m:val="p"/>
            </m:rPr>
            <w:rPr>
              <w:rFonts w:ascii="Cambria Math" w:hAnsi="Cambria Math"/>
            </w:rPr>
            <m:t>,</m:t>
          </m:r>
          <m:r>
            <w:rPr>
              <w:rFonts w:ascii="Cambria Math" w:hAnsi="Cambria Math"/>
            </w:rPr>
            <m:t>12</m:t>
          </m:r>
          <m:r>
            <m:rPr>
              <m:sty m:val="p"/>
            </m:rPr>
            <w:rPr>
              <w:rFonts w:ascii="Cambria Math" w:hAnsi="Cambria Math"/>
            </w:rPr>
            <m:t>,</m:t>
          </m:r>
          <m:r>
            <w:rPr>
              <w:rFonts w:ascii="Cambria Math" w:hAnsi="Cambria Math"/>
            </w:rPr>
            <m:t>943</m:t>
          </m:r>
        </m:oMath>
      </m:oMathPara>
    </w:p>
    <w:bookmarkEnd w:id="4"/>
    <w:bookmarkEnd w:id="5"/>
    <w:p w:rsidR="00C43613" w:rsidRPr="00022B65" w:rsidRDefault="00C43613" w:rsidP="00C43613">
      <w:pPr>
        <w:spacing w:line="360" w:lineRule="auto"/>
        <w:jc w:val="both"/>
        <w:rPr>
          <w:rFonts w:ascii="Times New Roman" w:hAnsi="Times New Roman"/>
          <w:sz w:val="24"/>
          <w:szCs w:val="24"/>
        </w:rPr>
      </w:pPr>
    </w:p>
    <w:p w:rsidR="00C43613" w:rsidRPr="00A76FF5" w:rsidRDefault="00C43613" w:rsidP="00C43613">
      <w:pPr>
        <w:spacing w:line="360" w:lineRule="auto"/>
        <w:jc w:val="both"/>
        <w:rPr>
          <w:rFonts w:ascii="Times New Roman" w:hAnsi="Times New Roman"/>
          <w:b/>
          <w:sz w:val="24"/>
          <w:szCs w:val="24"/>
        </w:rPr>
      </w:pPr>
      <w:r w:rsidRPr="00A76FF5">
        <w:rPr>
          <w:rFonts w:ascii="Times New Roman" w:hAnsi="Times New Roman"/>
          <w:b/>
          <w:sz w:val="24"/>
          <w:szCs w:val="24"/>
        </w:rPr>
        <w:t>Q5. Mr. Yadav is offered the post of director by SGRCS Ltd, with the following two options:</w:t>
      </w:r>
    </w:p>
    <w:tbl>
      <w:tblPr>
        <w:tblW w:w="4936" w:type="pct"/>
        <w:tblLayout w:type="fixed"/>
        <w:tblCellMar>
          <w:left w:w="0" w:type="dxa"/>
          <w:right w:w="0" w:type="dxa"/>
        </w:tblCellMar>
        <w:tblLook w:val="0000" w:firstRow="0" w:lastRow="0" w:firstColumn="0" w:lastColumn="0" w:noHBand="0" w:noVBand="0"/>
      </w:tblPr>
      <w:tblGrid>
        <w:gridCol w:w="6458"/>
        <w:gridCol w:w="1256"/>
        <w:gridCol w:w="1180"/>
        <w:gridCol w:w="30"/>
      </w:tblGrid>
      <w:tr w:rsidR="00C43613" w:rsidRPr="00A76FF5" w:rsidTr="00780434">
        <w:trPr>
          <w:gridAfter w:val="1"/>
          <w:wAfter w:w="17" w:type="pct"/>
          <w:trHeight w:val="550"/>
        </w:trPr>
        <w:tc>
          <w:tcPr>
            <w:tcW w:w="4983" w:type="pct"/>
            <w:gridSpan w:val="3"/>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p>
        </w:tc>
      </w:tr>
      <w:tr w:rsidR="00C43613" w:rsidRPr="00A76FF5" w:rsidTr="00780434">
        <w:trPr>
          <w:gridAfter w:val="1"/>
          <w:wAfter w:w="17" w:type="pct"/>
          <w:trHeight w:val="550"/>
        </w:trPr>
        <w:tc>
          <w:tcPr>
            <w:tcW w:w="3618"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p>
        </w:tc>
        <w:tc>
          <w:tcPr>
            <w:tcW w:w="704"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Option I</w:t>
            </w:r>
          </w:p>
        </w:tc>
        <w:tc>
          <w:tcPr>
            <w:tcW w:w="661"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Option II</w:t>
            </w:r>
          </w:p>
        </w:tc>
      </w:tr>
      <w:tr w:rsidR="00C43613" w:rsidRPr="00A76FF5" w:rsidTr="00780434">
        <w:trPr>
          <w:gridAfter w:val="1"/>
          <w:wAfter w:w="17" w:type="pct"/>
          <w:trHeight w:val="550"/>
        </w:trPr>
        <w:tc>
          <w:tcPr>
            <w:tcW w:w="3618"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Basic Salary</w:t>
            </w:r>
          </w:p>
        </w:tc>
        <w:tc>
          <w:tcPr>
            <w:tcW w:w="704"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18,00,000</w:t>
            </w:r>
          </w:p>
        </w:tc>
        <w:tc>
          <w:tcPr>
            <w:tcW w:w="661"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18,00,000</w:t>
            </w:r>
          </w:p>
        </w:tc>
      </w:tr>
      <w:tr w:rsidR="00C43613" w:rsidRPr="00A76FF5" w:rsidTr="00780434">
        <w:trPr>
          <w:gridAfter w:val="1"/>
          <w:wAfter w:w="17" w:type="pct"/>
          <w:trHeight w:val="550"/>
        </w:trPr>
        <w:tc>
          <w:tcPr>
            <w:tcW w:w="3618"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Conveyance Allowance (For Private Use)</w:t>
            </w:r>
          </w:p>
        </w:tc>
        <w:tc>
          <w:tcPr>
            <w:tcW w:w="704"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18,000</w:t>
            </w:r>
          </w:p>
        </w:tc>
        <w:tc>
          <w:tcPr>
            <w:tcW w:w="661"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p>
        </w:tc>
      </w:tr>
      <w:tr w:rsidR="00C43613" w:rsidRPr="00A76FF5" w:rsidTr="00780434">
        <w:trPr>
          <w:gridAfter w:val="1"/>
          <w:wAfter w:w="17" w:type="pct"/>
          <w:trHeight w:val="550"/>
        </w:trPr>
        <w:tc>
          <w:tcPr>
            <w:tcW w:w="3618"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Car Facility (For Private Use) (1.6 litre cap.) (Cost of Car 2,00,000)</w:t>
            </w:r>
          </w:p>
        </w:tc>
        <w:tc>
          <w:tcPr>
            <w:tcW w:w="704"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p>
        </w:tc>
        <w:tc>
          <w:tcPr>
            <w:tcW w:w="661"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18,000</w:t>
            </w:r>
          </w:p>
        </w:tc>
      </w:tr>
      <w:tr w:rsidR="00C43613" w:rsidRPr="00A76FF5" w:rsidTr="00780434">
        <w:trPr>
          <w:gridAfter w:val="1"/>
          <w:wAfter w:w="17" w:type="pct"/>
          <w:trHeight w:val="550"/>
        </w:trPr>
        <w:tc>
          <w:tcPr>
            <w:tcW w:w="3618"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Entertainment Allowance</w:t>
            </w:r>
          </w:p>
        </w:tc>
        <w:tc>
          <w:tcPr>
            <w:tcW w:w="704"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24,000</w:t>
            </w:r>
          </w:p>
        </w:tc>
        <w:tc>
          <w:tcPr>
            <w:tcW w:w="661"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p>
        </w:tc>
      </w:tr>
      <w:tr w:rsidR="00C43613" w:rsidRPr="00A76FF5" w:rsidTr="00780434">
        <w:trPr>
          <w:gridAfter w:val="1"/>
          <w:wAfter w:w="17" w:type="pct"/>
          <w:trHeight w:val="550"/>
        </w:trPr>
        <w:tc>
          <w:tcPr>
            <w:tcW w:w="3618"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Entertainment Facility (Health Club)</w:t>
            </w:r>
          </w:p>
        </w:tc>
        <w:tc>
          <w:tcPr>
            <w:tcW w:w="704"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p>
        </w:tc>
        <w:tc>
          <w:tcPr>
            <w:tcW w:w="661"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24,000</w:t>
            </w:r>
          </w:p>
        </w:tc>
      </w:tr>
      <w:tr w:rsidR="00C43613" w:rsidRPr="00A76FF5" w:rsidTr="00780434">
        <w:trPr>
          <w:gridAfter w:val="1"/>
          <w:wAfter w:w="17" w:type="pct"/>
          <w:trHeight w:val="550"/>
        </w:trPr>
        <w:tc>
          <w:tcPr>
            <w:tcW w:w="3618"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Education Allowance for two children</w:t>
            </w:r>
          </w:p>
        </w:tc>
        <w:tc>
          <w:tcPr>
            <w:tcW w:w="704"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12,000</w:t>
            </w:r>
          </w:p>
        </w:tc>
        <w:tc>
          <w:tcPr>
            <w:tcW w:w="661"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p>
        </w:tc>
      </w:tr>
      <w:tr w:rsidR="00C43613" w:rsidRPr="00A76FF5" w:rsidTr="00780434">
        <w:trPr>
          <w:gridAfter w:val="1"/>
          <w:wAfter w:w="17" w:type="pct"/>
          <w:trHeight w:val="550"/>
        </w:trPr>
        <w:tc>
          <w:tcPr>
            <w:tcW w:w="3618"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Education Facility for two children (Educational institute run by employer)</w:t>
            </w:r>
          </w:p>
        </w:tc>
        <w:tc>
          <w:tcPr>
            <w:tcW w:w="704"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p>
        </w:tc>
        <w:tc>
          <w:tcPr>
            <w:tcW w:w="661"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p>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12,000</w:t>
            </w:r>
          </w:p>
        </w:tc>
      </w:tr>
      <w:tr w:rsidR="00C43613" w:rsidRPr="00A76FF5" w:rsidTr="00780434">
        <w:trPr>
          <w:gridAfter w:val="1"/>
          <w:wAfter w:w="17" w:type="pct"/>
          <w:trHeight w:val="550"/>
        </w:trPr>
        <w:tc>
          <w:tcPr>
            <w:tcW w:w="3618"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Rent-free residential facility at Jaipur (population is below 25 lakh)</w:t>
            </w:r>
          </w:p>
        </w:tc>
        <w:tc>
          <w:tcPr>
            <w:tcW w:w="704"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3,60,000</w:t>
            </w:r>
          </w:p>
        </w:tc>
        <w:tc>
          <w:tcPr>
            <w:tcW w:w="661" w:type="pct"/>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3,60,000</w:t>
            </w:r>
          </w:p>
        </w:tc>
      </w:tr>
      <w:tr w:rsidR="00C43613" w:rsidRPr="00A76FF5" w:rsidTr="00780434">
        <w:trPr>
          <w:trHeight w:val="550"/>
        </w:trPr>
        <w:tc>
          <w:tcPr>
            <w:tcW w:w="4983" w:type="pct"/>
            <w:gridSpan w:val="3"/>
            <w:tcBorders>
              <w:top w:val="single" w:sz="4" w:space="0" w:color="000000"/>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r w:rsidRPr="00A76FF5">
              <w:rPr>
                <w:rFonts w:ascii="Times New Roman" w:hAnsi="Times New Roman"/>
                <w:b/>
                <w:sz w:val="24"/>
                <w:szCs w:val="24"/>
              </w:rPr>
              <w:t>Which option do you recommend to Mr. Yadav as an expert tax planner?</w:t>
            </w:r>
          </w:p>
        </w:tc>
        <w:tc>
          <w:tcPr>
            <w:tcW w:w="17" w:type="pct"/>
            <w:tcBorders>
              <w:top w:val="nil"/>
              <w:left w:val="single" w:sz="4" w:space="0" w:color="000000"/>
              <w:bottom w:val="single" w:sz="4" w:space="0" w:color="000000"/>
              <w:right w:val="single" w:sz="4" w:space="0" w:color="000000"/>
            </w:tcBorders>
          </w:tcPr>
          <w:p w:rsidR="00C43613" w:rsidRPr="00A76FF5" w:rsidRDefault="00C43613" w:rsidP="00780434">
            <w:pPr>
              <w:spacing w:after="0" w:line="240" w:lineRule="auto"/>
              <w:jc w:val="both"/>
              <w:rPr>
                <w:rFonts w:ascii="Times New Roman" w:hAnsi="Times New Roman"/>
                <w:b/>
                <w:sz w:val="24"/>
                <w:szCs w:val="24"/>
              </w:rPr>
            </w:pPr>
          </w:p>
        </w:tc>
      </w:tr>
    </w:tbl>
    <w:p w:rsidR="00C43613" w:rsidRPr="00A76FF5" w:rsidRDefault="00C43613" w:rsidP="00C43613">
      <w:pPr>
        <w:spacing w:line="360" w:lineRule="auto"/>
        <w:jc w:val="both"/>
        <w:rPr>
          <w:rFonts w:ascii="Times New Roman" w:hAnsi="Times New Roman"/>
          <w:b/>
          <w:sz w:val="24"/>
          <w:szCs w:val="24"/>
        </w:rPr>
      </w:pPr>
    </w:p>
    <w:p w:rsidR="00A76FF5" w:rsidRDefault="00A76FF5" w:rsidP="00A76FF5">
      <w:pPr>
        <w:spacing w:line="360" w:lineRule="auto"/>
        <w:jc w:val="both"/>
        <w:rPr>
          <w:rFonts w:ascii="Times New Roman" w:hAnsi="Times New Roman"/>
          <w:b/>
          <w:bCs/>
          <w:sz w:val="24"/>
          <w:szCs w:val="24"/>
        </w:rPr>
      </w:pPr>
      <w:r>
        <w:rPr>
          <w:rFonts w:ascii="Times New Roman" w:hAnsi="Times New Roman"/>
          <w:b/>
          <w:bCs/>
          <w:sz w:val="24"/>
          <w:szCs w:val="24"/>
        </w:rPr>
        <w:t>Ans 5.</w:t>
      </w:r>
    </w:p>
    <w:p w:rsidR="00A76FF5" w:rsidRPr="00A76FF5" w:rsidRDefault="00A76FF5" w:rsidP="00A76FF5">
      <w:pPr>
        <w:spacing w:line="360" w:lineRule="auto"/>
        <w:jc w:val="both"/>
        <w:rPr>
          <w:rFonts w:ascii="Times New Roman" w:hAnsi="Times New Roman"/>
          <w:b/>
          <w:bCs/>
          <w:sz w:val="24"/>
          <w:szCs w:val="24"/>
        </w:rPr>
      </w:pPr>
      <w:r w:rsidRPr="00A76FF5">
        <w:rPr>
          <w:rFonts w:ascii="Times New Roman" w:hAnsi="Times New Roman"/>
          <w:b/>
          <w:bCs/>
          <w:sz w:val="24"/>
          <w:szCs w:val="24"/>
        </w:rPr>
        <w:t>Tax Planning Recommendation for Mr. Yadav</w:t>
      </w:r>
    </w:p>
    <w:p w:rsidR="00A76FF5" w:rsidRPr="00A76FF5" w:rsidRDefault="00A76FF5" w:rsidP="00AA5AB1">
      <w:pPr>
        <w:spacing w:line="360" w:lineRule="auto"/>
        <w:jc w:val="both"/>
        <w:rPr>
          <w:rFonts w:ascii="Times New Roman" w:hAnsi="Times New Roman"/>
          <w:sz w:val="24"/>
          <w:szCs w:val="24"/>
        </w:rPr>
      </w:pPr>
      <w:r w:rsidRPr="00A76FF5">
        <w:rPr>
          <w:rFonts w:ascii="Times New Roman" w:hAnsi="Times New Roman"/>
          <w:sz w:val="24"/>
          <w:szCs w:val="24"/>
        </w:rPr>
        <w:t xml:space="preserve">Tax planning plays a crucial role in optimizing salary structures to minimize tax liability while maximizing net income. Mr. Yadav has been offered the position of Director at </w:t>
      </w:r>
      <w:r w:rsidRPr="00A76FF5">
        <w:rPr>
          <w:rFonts w:ascii="Times New Roman" w:hAnsi="Times New Roman"/>
          <w:b/>
          <w:bCs/>
          <w:sz w:val="24"/>
          <w:szCs w:val="24"/>
        </w:rPr>
        <w:t>SGRCS Ltd</w:t>
      </w:r>
      <w:r w:rsidRPr="00A76FF5">
        <w:rPr>
          <w:rFonts w:ascii="Times New Roman" w:hAnsi="Times New Roman"/>
          <w:sz w:val="24"/>
          <w:szCs w:val="24"/>
        </w:rPr>
        <w:t xml:space="preserve"> with two different salary structures. As a tax planner, it is important to analyze which option </w:t>
      </w:r>
    </w:p>
    <w:p w:rsidR="00A76FF5" w:rsidRPr="00022B65" w:rsidRDefault="00A76FF5" w:rsidP="00C43613">
      <w:pPr>
        <w:spacing w:line="360" w:lineRule="auto"/>
        <w:jc w:val="both"/>
        <w:rPr>
          <w:rFonts w:ascii="Times New Roman" w:hAnsi="Times New Roman"/>
          <w:sz w:val="24"/>
          <w:szCs w:val="24"/>
        </w:rPr>
      </w:pPr>
    </w:p>
    <w:p w:rsidR="00C43613" w:rsidRPr="00022B65" w:rsidRDefault="00C43613" w:rsidP="00C43613">
      <w:pPr>
        <w:spacing w:line="360" w:lineRule="auto"/>
        <w:jc w:val="both"/>
        <w:rPr>
          <w:rFonts w:ascii="Times New Roman" w:hAnsi="Times New Roman"/>
          <w:sz w:val="24"/>
          <w:szCs w:val="24"/>
        </w:rPr>
      </w:pPr>
    </w:p>
    <w:p w:rsidR="00C43613" w:rsidRPr="00022B65" w:rsidRDefault="00C43613" w:rsidP="00C43613">
      <w:pPr>
        <w:spacing w:line="360" w:lineRule="auto"/>
        <w:jc w:val="both"/>
        <w:rPr>
          <w:rFonts w:ascii="Times New Roman" w:hAnsi="Times New Roman"/>
          <w:sz w:val="24"/>
          <w:szCs w:val="24"/>
        </w:rPr>
      </w:pPr>
    </w:p>
    <w:p w:rsidR="00C43613" w:rsidRPr="00A76FF5" w:rsidRDefault="00C43613" w:rsidP="00C43613">
      <w:pPr>
        <w:spacing w:line="360" w:lineRule="auto"/>
        <w:jc w:val="both"/>
        <w:rPr>
          <w:rFonts w:ascii="Times New Roman" w:hAnsi="Times New Roman"/>
          <w:b/>
          <w:sz w:val="24"/>
          <w:szCs w:val="24"/>
        </w:rPr>
      </w:pPr>
      <w:r w:rsidRPr="00A76FF5">
        <w:rPr>
          <w:rFonts w:ascii="Times New Roman" w:hAnsi="Times New Roman"/>
          <w:b/>
          <w:sz w:val="24"/>
          <w:szCs w:val="24"/>
        </w:rPr>
        <w:t>Q6. A.  Write a short note on:</w:t>
      </w:r>
    </w:p>
    <w:p w:rsidR="00C43613" w:rsidRPr="00A76FF5" w:rsidRDefault="00C43613" w:rsidP="00C43613">
      <w:pPr>
        <w:spacing w:line="360" w:lineRule="auto"/>
        <w:jc w:val="both"/>
        <w:rPr>
          <w:rFonts w:ascii="Times New Roman" w:hAnsi="Times New Roman"/>
          <w:b/>
          <w:sz w:val="24"/>
          <w:szCs w:val="24"/>
        </w:rPr>
      </w:pPr>
      <w:r w:rsidRPr="00A76FF5">
        <w:rPr>
          <w:rFonts w:ascii="Times New Roman" w:hAnsi="Times New Roman"/>
          <w:b/>
          <w:sz w:val="24"/>
          <w:szCs w:val="24"/>
        </w:rPr>
        <w:t>I.  Applicability of Transfer Pricing</w:t>
      </w:r>
    </w:p>
    <w:p w:rsidR="00C43613" w:rsidRPr="00A76FF5" w:rsidRDefault="00C43613" w:rsidP="00C43613">
      <w:pPr>
        <w:spacing w:line="360" w:lineRule="auto"/>
        <w:jc w:val="both"/>
        <w:rPr>
          <w:rFonts w:ascii="Times New Roman" w:hAnsi="Times New Roman"/>
          <w:b/>
          <w:sz w:val="24"/>
          <w:szCs w:val="24"/>
        </w:rPr>
      </w:pPr>
      <w:r w:rsidRPr="00A76FF5">
        <w:rPr>
          <w:rFonts w:ascii="Times New Roman" w:hAnsi="Times New Roman"/>
          <w:b/>
          <w:sz w:val="24"/>
          <w:szCs w:val="24"/>
        </w:rPr>
        <w:t>II. Advance Tax Payment</w:t>
      </w:r>
    </w:p>
    <w:p w:rsidR="00C43613" w:rsidRPr="00A76FF5" w:rsidRDefault="00C43613" w:rsidP="00C43613">
      <w:pPr>
        <w:spacing w:line="360" w:lineRule="auto"/>
        <w:jc w:val="both"/>
        <w:rPr>
          <w:rFonts w:ascii="Times New Roman" w:hAnsi="Times New Roman"/>
          <w:b/>
          <w:sz w:val="24"/>
          <w:szCs w:val="24"/>
        </w:rPr>
      </w:pPr>
      <w:r w:rsidRPr="00A76FF5">
        <w:rPr>
          <w:rFonts w:ascii="Times New Roman" w:hAnsi="Times New Roman"/>
          <w:b/>
          <w:sz w:val="24"/>
          <w:szCs w:val="24"/>
        </w:rPr>
        <w:t>III.  Assessment procedure in Income tax</w:t>
      </w:r>
    </w:p>
    <w:p w:rsidR="00C43613" w:rsidRPr="00A76FF5" w:rsidRDefault="00C43613" w:rsidP="00C43613">
      <w:pPr>
        <w:spacing w:line="360" w:lineRule="auto"/>
        <w:jc w:val="both"/>
        <w:rPr>
          <w:rFonts w:ascii="Times New Roman" w:hAnsi="Times New Roman"/>
          <w:b/>
          <w:sz w:val="24"/>
          <w:szCs w:val="24"/>
        </w:rPr>
      </w:pPr>
      <w:r w:rsidRPr="00A76FF5">
        <w:rPr>
          <w:rFonts w:ascii="Times New Roman" w:hAnsi="Times New Roman"/>
          <w:b/>
          <w:sz w:val="24"/>
          <w:szCs w:val="24"/>
        </w:rPr>
        <w:t>IV.  Advance Rulings</w:t>
      </w:r>
    </w:p>
    <w:p w:rsidR="00C43613" w:rsidRPr="00A76FF5" w:rsidRDefault="00C43613" w:rsidP="00C43613">
      <w:pPr>
        <w:spacing w:line="360" w:lineRule="auto"/>
        <w:jc w:val="both"/>
        <w:rPr>
          <w:rFonts w:ascii="Times New Roman" w:hAnsi="Times New Roman"/>
          <w:b/>
          <w:sz w:val="24"/>
          <w:szCs w:val="24"/>
        </w:rPr>
      </w:pPr>
      <w:r w:rsidRPr="00A76FF5">
        <w:rPr>
          <w:rFonts w:ascii="Times New Roman" w:hAnsi="Times New Roman"/>
          <w:b/>
          <w:sz w:val="24"/>
          <w:szCs w:val="24"/>
        </w:rPr>
        <w:t xml:space="preserve">B.   Explain the special tax Provisions and Incentives that allow for a business </w:t>
      </w:r>
      <w:proofErr w:type="gramStart"/>
      <w:r w:rsidRPr="00A76FF5">
        <w:rPr>
          <w:rFonts w:ascii="Times New Roman" w:hAnsi="Times New Roman"/>
          <w:b/>
          <w:sz w:val="24"/>
          <w:szCs w:val="24"/>
        </w:rPr>
        <w:t>to  receive</w:t>
      </w:r>
      <w:proofErr w:type="gramEnd"/>
      <w:r w:rsidRPr="00A76FF5">
        <w:rPr>
          <w:rFonts w:ascii="Times New Roman" w:hAnsi="Times New Roman"/>
          <w:b/>
          <w:sz w:val="24"/>
          <w:szCs w:val="24"/>
        </w:rPr>
        <w:t xml:space="preserve"> a favorable tax treatment due to the location and nature of the business.</w:t>
      </w:r>
    </w:p>
    <w:p w:rsidR="00A76FF5" w:rsidRPr="00A76FF5" w:rsidRDefault="00A76FF5" w:rsidP="00A76FF5">
      <w:pPr>
        <w:spacing w:line="360" w:lineRule="auto"/>
        <w:jc w:val="both"/>
        <w:rPr>
          <w:rFonts w:ascii="Times New Roman" w:hAnsi="Times New Roman"/>
          <w:b/>
          <w:bCs/>
          <w:sz w:val="24"/>
          <w:szCs w:val="24"/>
        </w:rPr>
      </w:pPr>
      <w:r w:rsidRPr="00A76FF5">
        <w:rPr>
          <w:rFonts w:ascii="Times New Roman" w:hAnsi="Times New Roman"/>
          <w:b/>
          <w:bCs/>
          <w:sz w:val="24"/>
          <w:szCs w:val="24"/>
        </w:rPr>
        <w:t>Ans 6.</w:t>
      </w:r>
    </w:p>
    <w:p w:rsidR="00A76FF5" w:rsidRPr="00A76FF5" w:rsidRDefault="00A76FF5" w:rsidP="00A76FF5">
      <w:pPr>
        <w:spacing w:line="360" w:lineRule="auto"/>
        <w:jc w:val="both"/>
        <w:rPr>
          <w:rFonts w:ascii="Times New Roman" w:hAnsi="Times New Roman"/>
          <w:b/>
          <w:bCs/>
          <w:sz w:val="24"/>
          <w:szCs w:val="24"/>
        </w:rPr>
      </w:pPr>
      <w:r w:rsidRPr="00A76FF5">
        <w:rPr>
          <w:rFonts w:ascii="Times New Roman" w:hAnsi="Times New Roman"/>
          <w:b/>
          <w:bCs/>
          <w:sz w:val="24"/>
          <w:szCs w:val="24"/>
        </w:rPr>
        <w:t>(A) Short Notes on Key Tax Concepts</w:t>
      </w:r>
    </w:p>
    <w:p w:rsidR="00A76FF5" w:rsidRPr="00A76FF5" w:rsidRDefault="00A76FF5" w:rsidP="00A76FF5">
      <w:pPr>
        <w:spacing w:line="360" w:lineRule="auto"/>
        <w:jc w:val="both"/>
        <w:rPr>
          <w:rFonts w:ascii="Times New Roman" w:hAnsi="Times New Roman"/>
          <w:b/>
          <w:bCs/>
          <w:sz w:val="24"/>
          <w:szCs w:val="24"/>
        </w:rPr>
      </w:pPr>
      <w:r w:rsidRPr="00A76FF5">
        <w:rPr>
          <w:rFonts w:ascii="Times New Roman" w:hAnsi="Times New Roman"/>
          <w:b/>
          <w:bCs/>
          <w:sz w:val="24"/>
          <w:szCs w:val="24"/>
        </w:rPr>
        <w:t>I. Applicability of Transfer Pricing</w:t>
      </w:r>
    </w:p>
    <w:p w:rsidR="00A76FF5" w:rsidRPr="00A76FF5" w:rsidRDefault="00A76FF5" w:rsidP="00A76FF5">
      <w:pPr>
        <w:spacing w:line="360" w:lineRule="auto"/>
        <w:jc w:val="both"/>
        <w:rPr>
          <w:rFonts w:ascii="Times New Roman" w:hAnsi="Times New Roman"/>
          <w:sz w:val="24"/>
          <w:szCs w:val="24"/>
        </w:rPr>
      </w:pPr>
      <w:r w:rsidRPr="00A76FF5">
        <w:rPr>
          <w:rFonts w:ascii="Times New Roman" w:hAnsi="Times New Roman"/>
          <w:sz w:val="24"/>
          <w:szCs w:val="24"/>
        </w:rPr>
        <w:t xml:space="preserve">Transfer pricing applies to transactions between associated enterprises to ensure that goods, services, or intellectual property are exchanged at </w:t>
      </w:r>
      <w:r w:rsidRPr="00A76FF5">
        <w:rPr>
          <w:rFonts w:ascii="Times New Roman" w:hAnsi="Times New Roman"/>
          <w:b/>
          <w:bCs/>
          <w:sz w:val="24"/>
          <w:szCs w:val="24"/>
        </w:rPr>
        <w:t>arm’s length price (ALP)</w:t>
      </w:r>
      <w:r w:rsidRPr="00A76FF5">
        <w:rPr>
          <w:rFonts w:ascii="Times New Roman" w:hAnsi="Times New Roman"/>
          <w:sz w:val="24"/>
          <w:szCs w:val="24"/>
        </w:rPr>
        <w:t xml:space="preserve">. In India, it is governed by </w:t>
      </w:r>
      <w:r w:rsidRPr="00A76FF5">
        <w:rPr>
          <w:rFonts w:ascii="Times New Roman" w:hAnsi="Times New Roman"/>
          <w:b/>
          <w:bCs/>
          <w:sz w:val="24"/>
          <w:szCs w:val="24"/>
        </w:rPr>
        <w:t>Sections 92 to 92F of the Income Tax Act, 1961</w:t>
      </w:r>
      <w:r w:rsidRPr="00A76FF5">
        <w:rPr>
          <w:rFonts w:ascii="Times New Roman" w:hAnsi="Times New Roman"/>
          <w:sz w:val="24"/>
          <w:szCs w:val="24"/>
        </w:rPr>
        <w:t xml:space="preserve"> and applies to </w:t>
      </w:r>
      <w:r w:rsidRPr="00A76FF5">
        <w:rPr>
          <w:rFonts w:ascii="Times New Roman" w:hAnsi="Times New Roman"/>
          <w:b/>
          <w:bCs/>
          <w:sz w:val="24"/>
          <w:szCs w:val="24"/>
        </w:rPr>
        <w:t>international transactions and specified domestic transactions</w:t>
      </w:r>
      <w:r w:rsidRPr="00A76FF5">
        <w:rPr>
          <w:rFonts w:ascii="Times New Roman" w:hAnsi="Times New Roman"/>
          <w:sz w:val="24"/>
          <w:szCs w:val="24"/>
        </w:rPr>
        <w:t xml:space="preserve">. The purpose is to prevent tax avoidance through profit shifting to low-tax jurisdictions. Compliance with </w:t>
      </w:r>
      <w:r w:rsidRPr="00A76FF5">
        <w:rPr>
          <w:rFonts w:ascii="Times New Roman" w:hAnsi="Times New Roman"/>
          <w:b/>
          <w:bCs/>
          <w:sz w:val="24"/>
          <w:szCs w:val="24"/>
        </w:rPr>
        <w:t>OECD guidelines</w:t>
      </w:r>
      <w:r w:rsidRPr="00A76FF5">
        <w:rPr>
          <w:rFonts w:ascii="Times New Roman" w:hAnsi="Times New Roman"/>
          <w:sz w:val="24"/>
          <w:szCs w:val="24"/>
        </w:rPr>
        <w:t xml:space="preserve"> and maintaining </w:t>
      </w:r>
      <w:r w:rsidRPr="00A76FF5">
        <w:rPr>
          <w:rFonts w:ascii="Times New Roman" w:hAnsi="Times New Roman"/>
          <w:b/>
          <w:bCs/>
          <w:sz w:val="24"/>
          <w:szCs w:val="24"/>
        </w:rPr>
        <w:t>transfer pricing documentation</w:t>
      </w:r>
      <w:r w:rsidRPr="00A76FF5">
        <w:rPr>
          <w:rFonts w:ascii="Times New Roman" w:hAnsi="Times New Roman"/>
          <w:sz w:val="24"/>
          <w:szCs w:val="24"/>
        </w:rPr>
        <w:t xml:space="preserve"> is mandatory for affected businesses.</w:t>
      </w:r>
    </w:p>
    <w:p w:rsidR="00A76FF5" w:rsidRPr="00A76FF5" w:rsidRDefault="00A76FF5" w:rsidP="00A76FF5">
      <w:pPr>
        <w:spacing w:line="360" w:lineRule="auto"/>
        <w:jc w:val="both"/>
        <w:rPr>
          <w:rFonts w:ascii="Times New Roman" w:hAnsi="Times New Roman"/>
          <w:b/>
          <w:bCs/>
          <w:sz w:val="24"/>
          <w:szCs w:val="24"/>
        </w:rPr>
      </w:pPr>
      <w:r w:rsidRPr="00A76FF5">
        <w:rPr>
          <w:rFonts w:ascii="Times New Roman" w:hAnsi="Times New Roman"/>
          <w:b/>
          <w:bCs/>
          <w:sz w:val="24"/>
          <w:szCs w:val="24"/>
        </w:rPr>
        <w:t>II. Advance Tax Payment</w:t>
      </w:r>
    </w:p>
    <w:p w:rsidR="00C43613" w:rsidRPr="00022B65" w:rsidRDefault="00A76FF5" w:rsidP="00AA5AB1">
      <w:pPr>
        <w:spacing w:line="360" w:lineRule="auto"/>
        <w:jc w:val="both"/>
        <w:rPr>
          <w:rFonts w:ascii="Times New Roman" w:hAnsi="Times New Roman"/>
          <w:sz w:val="24"/>
          <w:szCs w:val="24"/>
        </w:rPr>
      </w:pPr>
      <w:r w:rsidRPr="00A76FF5">
        <w:rPr>
          <w:rFonts w:ascii="Times New Roman" w:hAnsi="Times New Roman"/>
          <w:sz w:val="24"/>
          <w:szCs w:val="24"/>
        </w:rPr>
        <w:t xml:space="preserve">Advance tax is the </w:t>
      </w:r>
      <w:r w:rsidRPr="00A76FF5">
        <w:rPr>
          <w:rFonts w:ascii="Times New Roman" w:hAnsi="Times New Roman"/>
          <w:b/>
          <w:bCs/>
          <w:sz w:val="24"/>
          <w:szCs w:val="24"/>
        </w:rPr>
        <w:t>prepayment of income tax</w:t>
      </w:r>
      <w:r w:rsidRPr="00A76FF5">
        <w:rPr>
          <w:rFonts w:ascii="Times New Roman" w:hAnsi="Times New Roman"/>
          <w:sz w:val="24"/>
          <w:szCs w:val="24"/>
        </w:rPr>
        <w:t xml:space="preserve"> in installments rather than a lump sum at year-e</w:t>
      </w:r>
      <w:bookmarkStart w:id="6" w:name="_GoBack"/>
      <w:bookmarkEnd w:id="6"/>
    </w:p>
    <w:p w:rsidR="00D521CB" w:rsidRDefault="00D521CB"/>
    <w:sectPr w:rsidR="00D521CB" w:rsidSect="005A03A9">
      <w:type w:val="continuous"/>
      <w:pgSz w:w="11920" w:h="16840"/>
      <w:pgMar w:top="1440" w:right="1430" w:bottom="1440" w:left="1440" w:header="284" w:footer="0" w:gutter="0"/>
      <w:cols w:space="720" w:equalWidth="0">
        <w:col w:w="9050" w:space="72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DD406682"/>
    <w:lvl w:ilvl="0">
      <w:numFmt w:val="bullet"/>
      <w:lvlText w:val=""/>
      <w:lvlJc w:val="left"/>
      <w:pPr>
        <w:ind w:left="720" w:hanging="360"/>
      </w:pPr>
      <w:rPr>
        <w:rFonts w:ascii="Symbol" w:hAnsi="Symbol" w:cs="Symbol" w:hint="default"/>
      </w:rPr>
    </w:lvl>
    <w:lvl w:ilvl="1">
      <w:start w:val="1"/>
      <w:numFmt w:val="bullet"/>
      <w:lvlText w:val=""/>
      <w:lvlJc w:val="left"/>
      <w:pPr>
        <w:ind w:left="786"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EBACA4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3F33ADB"/>
    <w:multiLevelType w:val="multilevel"/>
    <w:tmpl w:val="5020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11F72"/>
    <w:multiLevelType w:val="multilevel"/>
    <w:tmpl w:val="FFDA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208A6"/>
    <w:multiLevelType w:val="multilevel"/>
    <w:tmpl w:val="1220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41FC6"/>
    <w:multiLevelType w:val="multilevel"/>
    <w:tmpl w:val="4862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C00EF"/>
    <w:multiLevelType w:val="multilevel"/>
    <w:tmpl w:val="2398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6B4C5E"/>
    <w:multiLevelType w:val="multilevel"/>
    <w:tmpl w:val="046A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67E5B"/>
    <w:multiLevelType w:val="multilevel"/>
    <w:tmpl w:val="66A0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3C51AE"/>
    <w:multiLevelType w:val="multilevel"/>
    <w:tmpl w:val="A93A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26AB5"/>
    <w:multiLevelType w:val="multilevel"/>
    <w:tmpl w:val="DDA2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9B108D"/>
    <w:multiLevelType w:val="multilevel"/>
    <w:tmpl w:val="6068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2E5520"/>
    <w:multiLevelType w:val="multilevel"/>
    <w:tmpl w:val="DF30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9F38BE"/>
    <w:multiLevelType w:val="multilevel"/>
    <w:tmpl w:val="09C0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3"/>
  </w:num>
  <w:num w:numId="5">
    <w:abstractNumId w:val="7"/>
  </w:num>
  <w:num w:numId="6">
    <w:abstractNumId w:val="4"/>
  </w:num>
  <w:num w:numId="7">
    <w:abstractNumId w:val="6"/>
  </w:num>
  <w:num w:numId="8">
    <w:abstractNumId w:val="2"/>
  </w:num>
  <w:num w:numId="9">
    <w:abstractNumId w:val="11"/>
  </w:num>
  <w:num w:numId="10">
    <w:abstractNumId w:val="5"/>
  </w:num>
  <w:num w:numId="11">
    <w:abstractNumId w:val="12"/>
  </w:num>
  <w:num w:numId="12">
    <w:abstractNumId w:val="8"/>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13"/>
    <w:rsid w:val="002A706E"/>
    <w:rsid w:val="004405C7"/>
    <w:rsid w:val="00540C60"/>
    <w:rsid w:val="007268E0"/>
    <w:rsid w:val="00A71564"/>
    <w:rsid w:val="00A76FF5"/>
    <w:rsid w:val="00AA5AB1"/>
    <w:rsid w:val="00C3129A"/>
    <w:rsid w:val="00C42FD7"/>
    <w:rsid w:val="00C43613"/>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7689"/>
  <w15:chartTrackingRefBased/>
  <w15:docId w15:val="{7D1FC316-7CA2-4269-928B-ABAE29A4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613"/>
    <w:pPr>
      <w:spacing w:after="160" w:line="259" w:lineRule="auto"/>
    </w:pPr>
    <w:rPr>
      <w:rFonts w:ascii="Calibri" w:eastAsia="Times New Roman" w:hAnsi="Calibri" w:cs="Times New Roman"/>
      <w:lang w:eastAsia="en-IN"/>
    </w:rPr>
  </w:style>
  <w:style w:type="paragraph" w:styleId="Heading3">
    <w:name w:val="heading 3"/>
    <w:basedOn w:val="Normal"/>
    <w:link w:val="Heading3Char"/>
    <w:uiPriority w:val="9"/>
    <w:qFormat/>
    <w:rsid w:val="00C43613"/>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C43613"/>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C43613"/>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3613"/>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C43613"/>
    <w:rPr>
      <w:rFonts w:eastAsiaTheme="minorEastAsia"/>
      <w:b/>
      <w:bCs/>
      <w:sz w:val="28"/>
      <w:szCs w:val="28"/>
      <w:lang w:eastAsia="en-IN"/>
    </w:rPr>
  </w:style>
  <w:style w:type="character" w:customStyle="1" w:styleId="Heading5Char">
    <w:name w:val="Heading 5 Char"/>
    <w:basedOn w:val="DefaultParagraphFont"/>
    <w:link w:val="Heading5"/>
    <w:uiPriority w:val="9"/>
    <w:semiHidden/>
    <w:rsid w:val="00C43613"/>
    <w:rPr>
      <w:rFonts w:eastAsiaTheme="minorEastAsia"/>
      <w:b/>
      <w:bCs/>
      <w:i/>
      <w:iCs/>
      <w:sz w:val="26"/>
      <w:szCs w:val="26"/>
      <w:lang w:eastAsia="en-IN"/>
    </w:rPr>
  </w:style>
  <w:style w:type="paragraph" w:styleId="BodyText">
    <w:name w:val="Body Text"/>
    <w:basedOn w:val="Normal"/>
    <w:link w:val="BodyTextChar"/>
    <w:qFormat/>
    <w:rsid w:val="00C43613"/>
    <w:pPr>
      <w:spacing w:before="180" w:after="180" w:line="240" w:lineRule="auto"/>
    </w:pPr>
    <w:rPr>
      <w:rFonts w:ascii="Times New Roman" w:eastAsia="Aptos" w:hAnsi="Times New Roman"/>
      <w:sz w:val="24"/>
      <w:szCs w:val="24"/>
      <w:lang w:val="en-US" w:eastAsia="en-US"/>
    </w:rPr>
  </w:style>
  <w:style w:type="character" w:customStyle="1" w:styleId="BodyTextChar">
    <w:name w:val="Body Text Char"/>
    <w:basedOn w:val="DefaultParagraphFont"/>
    <w:link w:val="BodyText"/>
    <w:rsid w:val="00C43613"/>
    <w:rPr>
      <w:rFonts w:ascii="Times New Roman" w:eastAsia="Aptos" w:hAnsi="Times New Roman" w:cs="Times New Roman"/>
      <w:sz w:val="24"/>
      <w:szCs w:val="24"/>
      <w:lang w:val="en-US"/>
    </w:rPr>
  </w:style>
  <w:style w:type="paragraph" w:customStyle="1" w:styleId="FirstParagraph">
    <w:name w:val="First Paragraph"/>
    <w:basedOn w:val="BodyText"/>
    <w:next w:val="BodyText"/>
    <w:qFormat/>
    <w:rsid w:val="00C43613"/>
  </w:style>
  <w:style w:type="paragraph" w:customStyle="1" w:styleId="Compact">
    <w:name w:val="Compact"/>
    <w:basedOn w:val="BodyText"/>
    <w:qFormat/>
    <w:rsid w:val="00C43613"/>
    <w:pPr>
      <w:spacing w:before="36" w:after="36"/>
    </w:pPr>
  </w:style>
  <w:style w:type="table" w:customStyle="1" w:styleId="Table">
    <w:name w:val="Table"/>
    <w:semiHidden/>
    <w:unhideWhenUsed/>
    <w:qFormat/>
    <w:rsid w:val="00C43613"/>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styleId="TableGrid">
    <w:name w:val="Table Grid"/>
    <w:basedOn w:val="TableNormal"/>
    <w:uiPriority w:val="59"/>
    <w:rsid w:val="00A76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5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9561">
      <w:bodyDiv w:val="1"/>
      <w:marLeft w:val="0"/>
      <w:marRight w:val="0"/>
      <w:marTop w:val="0"/>
      <w:marBottom w:val="0"/>
      <w:divBdr>
        <w:top w:val="none" w:sz="0" w:space="0" w:color="auto"/>
        <w:left w:val="none" w:sz="0" w:space="0" w:color="auto"/>
        <w:bottom w:val="none" w:sz="0" w:space="0" w:color="auto"/>
        <w:right w:val="none" w:sz="0" w:space="0" w:color="auto"/>
      </w:divBdr>
      <w:divsChild>
        <w:div w:id="132719768">
          <w:marLeft w:val="0"/>
          <w:marRight w:val="0"/>
          <w:marTop w:val="0"/>
          <w:marBottom w:val="0"/>
          <w:divBdr>
            <w:top w:val="none" w:sz="0" w:space="0" w:color="auto"/>
            <w:left w:val="none" w:sz="0" w:space="0" w:color="auto"/>
            <w:bottom w:val="none" w:sz="0" w:space="0" w:color="auto"/>
            <w:right w:val="none" w:sz="0" w:space="0" w:color="auto"/>
          </w:divBdr>
          <w:divsChild>
            <w:div w:id="2082017074">
              <w:marLeft w:val="0"/>
              <w:marRight w:val="0"/>
              <w:marTop w:val="0"/>
              <w:marBottom w:val="0"/>
              <w:divBdr>
                <w:top w:val="none" w:sz="0" w:space="0" w:color="auto"/>
                <w:left w:val="none" w:sz="0" w:space="0" w:color="auto"/>
                <w:bottom w:val="none" w:sz="0" w:space="0" w:color="auto"/>
                <w:right w:val="none" w:sz="0" w:space="0" w:color="auto"/>
              </w:divBdr>
              <w:divsChild>
                <w:div w:id="1687556277">
                  <w:marLeft w:val="0"/>
                  <w:marRight w:val="0"/>
                  <w:marTop w:val="0"/>
                  <w:marBottom w:val="0"/>
                  <w:divBdr>
                    <w:top w:val="none" w:sz="0" w:space="0" w:color="auto"/>
                    <w:left w:val="none" w:sz="0" w:space="0" w:color="auto"/>
                    <w:bottom w:val="none" w:sz="0" w:space="0" w:color="auto"/>
                    <w:right w:val="none" w:sz="0" w:space="0" w:color="auto"/>
                  </w:divBdr>
                  <w:divsChild>
                    <w:div w:id="1914504405">
                      <w:marLeft w:val="0"/>
                      <w:marRight w:val="0"/>
                      <w:marTop w:val="0"/>
                      <w:marBottom w:val="0"/>
                      <w:divBdr>
                        <w:top w:val="none" w:sz="0" w:space="0" w:color="auto"/>
                        <w:left w:val="none" w:sz="0" w:space="0" w:color="auto"/>
                        <w:bottom w:val="none" w:sz="0" w:space="0" w:color="auto"/>
                        <w:right w:val="none" w:sz="0" w:space="0" w:color="auto"/>
                      </w:divBdr>
                      <w:divsChild>
                        <w:div w:id="1280409512">
                          <w:marLeft w:val="0"/>
                          <w:marRight w:val="0"/>
                          <w:marTop w:val="0"/>
                          <w:marBottom w:val="0"/>
                          <w:divBdr>
                            <w:top w:val="none" w:sz="0" w:space="0" w:color="auto"/>
                            <w:left w:val="none" w:sz="0" w:space="0" w:color="auto"/>
                            <w:bottom w:val="none" w:sz="0" w:space="0" w:color="auto"/>
                            <w:right w:val="none" w:sz="0" w:space="0" w:color="auto"/>
                          </w:divBdr>
                          <w:divsChild>
                            <w:div w:id="1430737587">
                              <w:marLeft w:val="0"/>
                              <w:marRight w:val="0"/>
                              <w:marTop w:val="0"/>
                              <w:marBottom w:val="0"/>
                              <w:divBdr>
                                <w:top w:val="none" w:sz="0" w:space="0" w:color="auto"/>
                                <w:left w:val="none" w:sz="0" w:space="0" w:color="auto"/>
                                <w:bottom w:val="none" w:sz="0" w:space="0" w:color="auto"/>
                                <w:right w:val="none" w:sz="0" w:space="0" w:color="auto"/>
                              </w:divBdr>
                              <w:divsChild>
                                <w:div w:id="1160149573">
                                  <w:marLeft w:val="0"/>
                                  <w:marRight w:val="0"/>
                                  <w:marTop w:val="0"/>
                                  <w:marBottom w:val="0"/>
                                  <w:divBdr>
                                    <w:top w:val="none" w:sz="0" w:space="0" w:color="auto"/>
                                    <w:left w:val="none" w:sz="0" w:space="0" w:color="auto"/>
                                    <w:bottom w:val="none" w:sz="0" w:space="0" w:color="auto"/>
                                    <w:right w:val="none" w:sz="0" w:space="0" w:color="auto"/>
                                  </w:divBdr>
                                  <w:divsChild>
                                    <w:div w:id="2035770410">
                                      <w:marLeft w:val="0"/>
                                      <w:marRight w:val="0"/>
                                      <w:marTop w:val="0"/>
                                      <w:marBottom w:val="0"/>
                                      <w:divBdr>
                                        <w:top w:val="none" w:sz="0" w:space="0" w:color="auto"/>
                                        <w:left w:val="none" w:sz="0" w:space="0" w:color="auto"/>
                                        <w:bottom w:val="none" w:sz="0" w:space="0" w:color="auto"/>
                                        <w:right w:val="none" w:sz="0" w:space="0" w:color="auto"/>
                                      </w:divBdr>
                                      <w:divsChild>
                                        <w:div w:id="1139568614">
                                          <w:marLeft w:val="0"/>
                                          <w:marRight w:val="0"/>
                                          <w:marTop w:val="0"/>
                                          <w:marBottom w:val="0"/>
                                          <w:divBdr>
                                            <w:top w:val="none" w:sz="0" w:space="0" w:color="auto"/>
                                            <w:left w:val="none" w:sz="0" w:space="0" w:color="auto"/>
                                            <w:bottom w:val="none" w:sz="0" w:space="0" w:color="auto"/>
                                            <w:right w:val="none" w:sz="0" w:space="0" w:color="auto"/>
                                          </w:divBdr>
                                          <w:divsChild>
                                            <w:div w:id="1707483393">
                                              <w:marLeft w:val="0"/>
                                              <w:marRight w:val="0"/>
                                              <w:marTop w:val="0"/>
                                              <w:marBottom w:val="0"/>
                                              <w:divBdr>
                                                <w:top w:val="none" w:sz="0" w:space="0" w:color="auto"/>
                                                <w:left w:val="none" w:sz="0" w:space="0" w:color="auto"/>
                                                <w:bottom w:val="none" w:sz="0" w:space="0" w:color="auto"/>
                                                <w:right w:val="none" w:sz="0" w:space="0" w:color="auto"/>
                                              </w:divBdr>
                                              <w:divsChild>
                                                <w:div w:id="2108692981">
                                                  <w:marLeft w:val="0"/>
                                                  <w:marRight w:val="0"/>
                                                  <w:marTop w:val="0"/>
                                                  <w:marBottom w:val="0"/>
                                                  <w:divBdr>
                                                    <w:top w:val="none" w:sz="0" w:space="0" w:color="auto"/>
                                                    <w:left w:val="none" w:sz="0" w:space="0" w:color="auto"/>
                                                    <w:bottom w:val="none" w:sz="0" w:space="0" w:color="auto"/>
                                                    <w:right w:val="none" w:sz="0" w:space="0" w:color="auto"/>
                                                  </w:divBdr>
                                                  <w:divsChild>
                                                    <w:div w:id="915942430">
                                                      <w:marLeft w:val="0"/>
                                                      <w:marRight w:val="0"/>
                                                      <w:marTop w:val="0"/>
                                                      <w:marBottom w:val="0"/>
                                                      <w:divBdr>
                                                        <w:top w:val="none" w:sz="0" w:space="0" w:color="auto"/>
                                                        <w:left w:val="none" w:sz="0" w:space="0" w:color="auto"/>
                                                        <w:bottom w:val="none" w:sz="0" w:space="0" w:color="auto"/>
                                                        <w:right w:val="none" w:sz="0" w:space="0" w:color="auto"/>
                                                      </w:divBdr>
                                                      <w:divsChild>
                                                        <w:div w:id="7155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825010">
      <w:bodyDiv w:val="1"/>
      <w:marLeft w:val="0"/>
      <w:marRight w:val="0"/>
      <w:marTop w:val="0"/>
      <w:marBottom w:val="0"/>
      <w:divBdr>
        <w:top w:val="none" w:sz="0" w:space="0" w:color="auto"/>
        <w:left w:val="none" w:sz="0" w:space="0" w:color="auto"/>
        <w:bottom w:val="none" w:sz="0" w:space="0" w:color="auto"/>
        <w:right w:val="none" w:sz="0" w:space="0" w:color="auto"/>
      </w:divBdr>
      <w:divsChild>
        <w:div w:id="1003238083">
          <w:marLeft w:val="0"/>
          <w:marRight w:val="0"/>
          <w:marTop w:val="0"/>
          <w:marBottom w:val="0"/>
          <w:divBdr>
            <w:top w:val="none" w:sz="0" w:space="0" w:color="auto"/>
            <w:left w:val="none" w:sz="0" w:space="0" w:color="auto"/>
            <w:bottom w:val="none" w:sz="0" w:space="0" w:color="auto"/>
            <w:right w:val="none" w:sz="0" w:space="0" w:color="auto"/>
          </w:divBdr>
          <w:divsChild>
            <w:div w:id="704066648">
              <w:marLeft w:val="0"/>
              <w:marRight w:val="0"/>
              <w:marTop w:val="0"/>
              <w:marBottom w:val="0"/>
              <w:divBdr>
                <w:top w:val="none" w:sz="0" w:space="0" w:color="auto"/>
                <w:left w:val="none" w:sz="0" w:space="0" w:color="auto"/>
                <w:bottom w:val="none" w:sz="0" w:space="0" w:color="auto"/>
                <w:right w:val="none" w:sz="0" w:space="0" w:color="auto"/>
              </w:divBdr>
              <w:divsChild>
                <w:div w:id="60640366">
                  <w:marLeft w:val="0"/>
                  <w:marRight w:val="0"/>
                  <w:marTop w:val="0"/>
                  <w:marBottom w:val="0"/>
                  <w:divBdr>
                    <w:top w:val="none" w:sz="0" w:space="0" w:color="auto"/>
                    <w:left w:val="none" w:sz="0" w:space="0" w:color="auto"/>
                    <w:bottom w:val="none" w:sz="0" w:space="0" w:color="auto"/>
                    <w:right w:val="none" w:sz="0" w:space="0" w:color="auto"/>
                  </w:divBdr>
                  <w:divsChild>
                    <w:div w:id="554437616">
                      <w:marLeft w:val="0"/>
                      <w:marRight w:val="0"/>
                      <w:marTop w:val="0"/>
                      <w:marBottom w:val="0"/>
                      <w:divBdr>
                        <w:top w:val="none" w:sz="0" w:space="0" w:color="auto"/>
                        <w:left w:val="none" w:sz="0" w:space="0" w:color="auto"/>
                        <w:bottom w:val="none" w:sz="0" w:space="0" w:color="auto"/>
                        <w:right w:val="none" w:sz="0" w:space="0" w:color="auto"/>
                      </w:divBdr>
                      <w:divsChild>
                        <w:div w:id="2071615568">
                          <w:marLeft w:val="0"/>
                          <w:marRight w:val="0"/>
                          <w:marTop w:val="0"/>
                          <w:marBottom w:val="0"/>
                          <w:divBdr>
                            <w:top w:val="none" w:sz="0" w:space="0" w:color="auto"/>
                            <w:left w:val="none" w:sz="0" w:space="0" w:color="auto"/>
                            <w:bottom w:val="none" w:sz="0" w:space="0" w:color="auto"/>
                            <w:right w:val="none" w:sz="0" w:space="0" w:color="auto"/>
                          </w:divBdr>
                          <w:divsChild>
                            <w:div w:id="1836604702">
                              <w:marLeft w:val="0"/>
                              <w:marRight w:val="0"/>
                              <w:marTop w:val="0"/>
                              <w:marBottom w:val="0"/>
                              <w:divBdr>
                                <w:top w:val="none" w:sz="0" w:space="0" w:color="auto"/>
                                <w:left w:val="none" w:sz="0" w:space="0" w:color="auto"/>
                                <w:bottom w:val="none" w:sz="0" w:space="0" w:color="auto"/>
                                <w:right w:val="none" w:sz="0" w:space="0" w:color="auto"/>
                              </w:divBdr>
                              <w:divsChild>
                                <w:div w:id="97607866">
                                  <w:marLeft w:val="0"/>
                                  <w:marRight w:val="0"/>
                                  <w:marTop w:val="0"/>
                                  <w:marBottom w:val="0"/>
                                  <w:divBdr>
                                    <w:top w:val="none" w:sz="0" w:space="0" w:color="auto"/>
                                    <w:left w:val="none" w:sz="0" w:space="0" w:color="auto"/>
                                    <w:bottom w:val="none" w:sz="0" w:space="0" w:color="auto"/>
                                    <w:right w:val="none" w:sz="0" w:space="0" w:color="auto"/>
                                  </w:divBdr>
                                  <w:divsChild>
                                    <w:div w:id="1943955146">
                                      <w:marLeft w:val="0"/>
                                      <w:marRight w:val="0"/>
                                      <w:marTop w:val="0"/>
                                      <w:marBottom w:val="0"/>
                                      <w:divBdr>
                                        <w:top w:val="none" w:sz="0" w:space="0" w:color="auto"/>
                                        <w:left w:val="none" w:sz="0" w:space="0" w:color="auto"/>
                                        <w:bottom w:val="none" w:sz="0" w:space="0" w:color="auto"/>
                                        <w:right w:val="none" w:sz="0" w:space="0" w:color="auto"/>
                                      </w:divBdr>
                                      <w:divsChild>
                                        <w:div w:id="373693855">
                                          <w:marLeft w:val="0"/>
                                          <w:marRight w:val="0"/>
                                          <w:marTop w:val="0"/>
                                          <w:marBottom w:val="0"/>
                                          <w:divBdr>
                                            <w:top w:val="none" w:sz="0" w:space="0" w:color="auto"/>
                                            <w:left w:val="none" w:sz="0" w:space="0" w:color="auto"/>
                                            <w:bottom w:val="none" w:sz="0" w:space="0" w:color="auto"/>
                                            <w:right w:val="none" w:sz="0" w:space="0" w:color="auto"/>
                                          </w:divBdr>
                                          <w:divsChild>
                                            <w:div w:id="766802810">
                                              <w:marLeft w:val="0"/>
                                              <w:marRight w:val="0"/>
                                              <w:marTop w:val="0"/>
                                              <w:marBottom w:val="0"/>
                                              <w:divBdr>
                                                <w:top w:val="none" w:sz="0" w:space="0" w:color="auto"/>
                                                <w:left w:val="none" w:sz="0" w:space="0" w:color="auto"/>
                                                <w:bottom w:val="none" w:sz="0" w:space="0" w:color="auto"/>
                                                <w:right w:val="none" w:sz="0" w:space="0" w:color="auto"/>
                                              </w:divBdr>
                                              <w:divsChild>
                                                <w:div w:id="517278171">
                                                  <w:marLeft w:val="0"/>
                                                  <w:marRight w:val="0"/>
                                                  <w:marTop w:val="0"/>
                                                  <w:marBottom w:val="0"/>
                                                  <w:divBdr>
                                                    <w:top w:val="none" w:sz="0" w:space="0" w:color="auto"/>
                                                    <w:left w:val="none" w:sz="0" w:space="0" w:color="auto"/>
                                                    <w:bottom w:val="none" w:sz="0" w:space="0" w:color="auto"/>
                                                    <w:right w:val="none" w:sz="0" w:space="0" w:color="auto"/>
                                                  </w:divBdr>
                                                  <w:divsChild>
                                                    <w:div w:id="1728605766">
                                                      <w:marLeft w:val="0"/>
                                                      <w:marRight w:val="0"/>
                                                      <w:marTop w:val="0"/>
                                                      <w:marBottom w:val="0"/>
                                                      <w:divBdr>
                                                        <w:top w:val="none" w:sz="0" w:space="0" w:color="auto"/>
                                                        <w:left w:val="none" w:sz="0" w:space="0" w:color="auto"/>
                                                        <w:bottom w:val="none" w:sz="0" w:space="0" w:color="auto"/>
                                                        <w:right w:val="none" w:sz="0" w:space="0" w:color="auto"/>
                                                      </w:divBdr>
                                                      <w:divsChild>
                                                        <w:div w:id="1497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896184">
      <w:bodyDiv w:val="1"/>
      <w:marLeft w:val="0"/>
      <w:marRight w:val="0"/>
      <w:marTop w:val="0"/>
      <w:marBottom w:val="0"/>
      <w:divBdr>
        <w:top w:val="none" w:sz="0" w:space="0" w:color="auto"/>
        <w:left w:val="none" w:sz="0" w:space="0" w:color="auto"/>
        <w:bottom w:val="none" w:sz="0" w:space="0" w:color="auto"/>
        <w:right w:val="none" w:sz="0" w:space="0" w:color="auto"/>
      </w:divBdr>
      <w:divsChild>
        <w:div w:id="200173225">
          <w:marLeft w:val="0"/>
          <w:marRight w:val="0"/>
          <w:marTop w:val="0"/>
          <w:marBottom w:val="0"/>
          <w:divBdr>
            <w:top w:val="none" w:sz="0" w:space="0" w:color="auto"/>
            <w:left w:val="none" w:sz="0" w:space="0" w:color="auto"/>
            <w:bottom w:val="none" w:sz="0" w:space="0" w:color="auto"/>
            <w:right w:val="none" w:sz="0" w:space="0" w:color="auto"/>
          </w:divBdr>
          <w:divsChild>
            <w:div w:id="292104348">
              <w:marLeft w:val="0"/>
              <w:marRight w:val="0"/>
              <w:marTop w:val="0"/>
              <w:marBottom w:val="0"/>
              <w:divBdr>
                <w:top w:val="none" w:sz="0" w:space="0" w:color="auto"/>
                <w:left w:val="none" w:sz="0" w:space="0" w:color="auto"/>
                <w:bottom w:val="none" w:sz="0" w:space="0" w:color="auto"/>
                <w:right w:val="none" w:sz="0" w:space="0" w:color="auto"/>
              </w:divBdr>
              <w:divsChild>
                <w:div w:id="1362707895">
                  <w:marLeft w:val="0"/>
                  <w:marRight w:val="0"/>
                  <w:marTop w:val="0"/>
                  <w:marBottom w:val="0"/>
                  <w:divBdr>
                    <w:top w:val="none" w:sz="0" w:space="0" w:color="auto"/>
                    <w:left w:val="none" w:sz="0" w:space="0" w:color="auto"/>
                    <w:bottom w:val="none" w:sz="0" w:space="0" w:color="auto"/>
                    <w:right w:val="none" w:sz="0" w:space="0" w:color="auto"/>
                  </w:divBdr>
                  <w:divsChild>
                    <w:div w:id="1341735259">
                      <w:marLeft w:val="0"/>
                      <w:marRight w:val="0"/>
                      <w:marTop w:val="0"/>
                      <w:marBottom w:val="0"/>
                      <w:divBdr>
                        <w:top w:val="none" w:sz="0" w:space="0" w:color="auto"/>
                        <w:left w:val="none" w:sz="0" w:space="0" w:color="auto"/>
                        <w:bottom w:val="none" w:sz="0" w:space="0" w:color="auto"/>
                        <w:right w:val="none" w:sz="0" w:space="0" w:color="auto"/>
                      </w:divBdr>
                      <w:divsChild>
                        <w:div w:id="2107073942">
                          <w:marLeft w:val="0"/>
                          <w:marRight w:val="0"/>
                          <w:marTop w:val="0"/>
                          <w:marBottom w:val="0"/>
                          <w:divBdr>
                            <w:top w:val="none" w:sz="0" w:space="0" w:color="auto"/>
                            <w:left w:val="none" w:sz="0" w:space="0" w:color="auto"/>
                            <w:bottom w:val="none" w:sz="0" w:space="0" w:color="auto"/>
                            <w:right w:val="none" w:sz="0" w:space="0" w:color="auto"/>
                          </w:divBdr>
                          <w:divsChild>
                            <w:div w:id="1205483370">
                              <w:marLeft w:val="0"/>
                              <w:marRight w:val="0"/>
                              <w:marTop w:val="0"/>
                              <w:marBottom w:val="0"/>
                              <w:divBdr>
                                <w:top w:val="none" w:sz="0" w:space="0" w:color="auto"/>
                                <w:left w:val="none" w:sz="0" w:space="0" w:color="auto"/>
                                <w:bottom w:val="none" w:sz="0" w:space="0" w:color="auto"/>
                                <w:right w:val="none" w:sz="0" w:space="0" w:color="auto"/>
                              </w:divBdr>
                              <w:divsChild>
                                <w:div w:id="559366030">
                                  <w:marLeft w:val="0"/>
                                  <w:marRight w:val="0"/>
                                  <w:marTop w:val="0"/>
                                  <w:marBottom w:val="0"/>
                                  <w:divBdr>
                                    <w:top w:val="none" w:sz="0" w:space="0" w:color="auto"/>
                                    <w:left w:val="none" w:sz="0" w:space="0" w:color="auto"/>
                                    <w:bottom w:val="none" w:sz="0" w:space="0" w:color="auto"/>
                                    <w:right w:val="none" w:sz="0" w:space="0" w:color="auto"/>
                                  </w:divBdr>
                                  <w:divsChild>
                                    <w:div w:id="546375214">
                                      <w:marLeft w:val="0"/>
                                      <w:marRight w:val="0"/>
                                      <w:marTop w:val="0"/>
                                      <w:marBottom w:val="0"/>
                                      <w:divBdr>
                                        <w:top w:val="none" w:sz="0" w:space="0" w:color="auto"/>
                                        <w:left w:val="none" w:sz="0" w:space="0" w:color="auto"/>
                                        <w:bottom w:val="none" w:sz="0" w:space="0" w:color="auto"/>
                                        <w:right w:val="none" w:sz="0" w:space="0" w:color="auto"/>
                                      </w:divBdr>
                                      <w:divsChild>
                                        <w:div w:id="710110069">
                                          <w:marLeft w:val="0"/>
                                          <w:marRight w:val="0"/>
                                          <w:marTop w:val="0"/>
                                          <w:marBottom w:val="0"/>
                                          <w:divBdr>
                                            <w:top w:val="none" w:sz="0" w:space="0" w:color="auto"/>
                                            <w:left w:val="none" w:sz="0" w:space="0" w:color="auto"/>
                                            <w:bottom w:val="none" w:sz="0" w:space="0" w:color="auto"/>
                                            <w:right w:val="none" w:sz="0" w:space="0" w:color="auto"/>
                                          </w:divBdr>
                                          <w:divsChild>
                                            <w:div w:id="744454193">
                                              <w:marLeft w:val="0"/>
                                              <w:marRight w:val="0"/>
                                              <w:marTop w:val="0"/>
                                              <w:marBottom w:val="0"/>
                                              <w:divBdr>
                                                <w:top w:val="none" w:sz="0" w:space="0" w:color="auto"/>
                                                <w:left w:val="none" w:sz="0" w:space="0" w:color="auto"/>
                                                <w:bottom w:val="none" w:sz="0" w:space="0" w:color="auto"/>
                                                <w:right w:val="none" w:sz="0" w:space="0" w:color="auto"/>
                                              </w:divBdr>
                                              <w:divsChild>
                                                <w:div w:id="140118498">
                                                  <w:marLeft w:val="0"/>
                                                  <w:marRight w:val="0"/>
                                                  <w:marTop w:val="0"/>
                                                  <w:marBottom w:val="0"/>
                                                  <w:divBdr>
                                                    <w:top w:val="none" w:sz="0" w:space="0" w:color="auto"/>
                                                    <w:left w:val="none" w:sz="0" w:space="0" w:color="auto"/>
                                                    <w:bottom w:val="none" w:sz="0" w:space="0" w:color="auto"/>
                                                    <w:right w:val="none" w:sz="0" w:space="0" w:color="auto"/>
                                                  </w:divBdr>
                                                  <w:divsChild>
                                                    <w:div w:id="1131290459">
                                                      <w:marLeft w:val="0"/>
                                                      <w:marRight w:val="0"/>
                                                      <w:marTop w:val="0"/>
                                                      <w:marBottom w:val="0"/>
                                                      <w:divBdr>
                                                        <w:top w:val="none" w:sz="0" w:space="0" w:color="auto"/>
                                                        <w:left w:val="none" w:sz="0" w:space="0" w:color="auto"/>
                                                        <w:bottom w:val="none" w:sz="0" w:space="0" w:color="auto"/>
                                                        <w:right w:val="none" w:sz="0" w:space="0" w:color="auto"/>
                                                      </w:divBdr>
                                                      <w:divsChild>
                                                        <w:div w:id="1471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5135582">
      <w:bodyDiv w:val="1"/>
      <w:marLeft w:val="0"/>
      <w:marRight w:val="0"/>
      <w:marTop w:val="0"/>
      <w:marBottom w:val="0"/>
      <w:divBdr>
        <w:top w:val="none" w:sz="0" w:space="0" w:color="auto"/>
        <w:left w:val="none" w:sz="0" w:space="0" w:color="auto"/>
        <w:bottom w:val="none" w:sz="0" w:space="0" w:color="auto"/>
        <w:right w:val="none" w:sz="0" w:space="0" w:color="auto"/>
      </w:divBdr>
    </w:div>
    <w:div w:id="596838515">
      <w:bodyDiv w:val="1"/>
      <w:marLeft w:val="0"/>
      <w:marRight w:val="0"/>
      <w:marTop w:val="0"/>
      <w:marBottom w:val="0"/>
      <w:divBdr>
        <w:top w:val="none" w:sz="0" w:space="0" w:color="auto"/>
        <w:left w:val="none" w:sz="0" w:space="0" w:color="auto"/>
        <w:bottom w:val="none" w:sz="0" w:space="0" w:color="auto"/>
        <w:right w:val="none" w:sz="0" w:space="0" w:color="auto"/>
      </w:divBdr>
      <w:divsChild>
        <w:div w:id="1710177966">
          <w:marLeft w:val="0"/>
          <w:marRight w:val="0"/>
          <w:marTop w:val="0"/>
          <w:marBottom w:val="0"/>
          <w:divBdr>
            <w:top w:val="none" w:sz="0" w:space="0" w:color="auto"/>
            <w:left w:val="none" w:sz="0" w:space="0" w:color="auto"/>
            <w:bottom w:val="none" w:sz="0" w:space="0" w:color="auto"/>
            <w:right w:val="none" w:sz="0" w:space="0" w:color="auto"/>
          </w:divBdr>
          <w:divsChild>
            <w:div w:id="1894122852">
              <w:marLeft w:val="0"/>
              <w:marRight w:val="0"/>
              <w:marTop w:val="0"/>
              <w:marBottom w:val="0"/>
              <w:divBdr>
                <w:top w:val="none" w:sz="0" w:space="0" w:color="auto"/>
                <w:left w:val="none" w:sz="0" w:space="0" w:color="auto"/>
                <w:bottom w:val="none" w:sz="0" w:space="0" w:color="auto"/>
                <w:right w:val="none" w:sz="0" w:space="0" w:color="auto"/>
              </w:divBdr>
              <w:divsChild>
                <w:div w:id="2050718751">
                  <w:marLeft w:val="0"/>
                  <w:marRight w:val="0"/>
                  <w:marTop w:val="0"/>
                  <w:marBottom w:val="0"/>
                  <w:divBdr>
                    <w:top w:val="none" w:sz="0" w:space="0" w:color="auto"/>
                    <w:left w:val="none" w:sz="0" w:space="0" w:color="auto"/>
                    <w:bottom w:val="none" w:sz="0" w:space="0" w:color="auto"/>
                    <w:right w:val="none" w:sz="0" w:space="0" w:color="auto"/>
                  </w:divBdr>
                  <w:divsChild>
                    <w:div w:id="1885481259">
                      <w:marLeft w:val="0"/>
                      <w:marRight w:val="0"/>
                      <w:marTop w:val="0"/>
                      <w:marBottom w:val="0"/>
                      <w:divBdr>
                        <w:top w:val="none" w:sz="0" w:space="0" w:color="auto"/>
                        <w:left w:val="none" w:sz="0" w:space="0" w:color="auto"/>
                        <w:bottom w:val="none" w:sz="0" w:space="0" w:color="auto"/>
                        <w:right w:val="none" w:sz="0" w:space="0" w:color="auto"/>
                      </w:divBdr>
                      <w:divsChild>
                        <w:div w:id="532504332">
                          <w:marLeft w:val="0"/>
                          <w:marRight w:val="0"/>
                          <w:marTop w:val="0"/>
                          <w:marBottom w:val="0"/>
                          <w:divBdr>
                            <w:top w:val="none" w:sz="0" w:space="0" w:color="auto"/>
                            <w:left w:val="none" w:sz="0" w:space="0" w:color="auto"/>
                            <w:bottom w:val="none" w:sz="0" w:space="0" w:color="auto"/>
                            <w:right w:val="none" w:sz="0" w:space="0" w:color="auto"/>
                          </w:divBdr>
                          <w:divsChild>
                            <w:div w:id="516771806">
                              <w:marLeft w:val="0"/>
                              <w:marRight w:val="0"/>
                              <w:marTop w:val="0"/>
                              <w:marBottom w:val="0"/>
                              <w:divBdr>
                                <w:top w:val="none" w:sz="0" w:space="0" w:color="auto"/>
                                <w:left w:val="none" w:sz="0" w:space="0" w:color="auto"/>
                                <w:bottom w:val="none" w:sz="0" w:space="0" w:color="auto"/>
                                <w:right w:val="none" w:sz="0" w:space="0" w:color="auto"/>
                              </w:divBdr>
                              <w:divsChild>
                                <w:div w:id="40979515">
                                  <w:marLeft w:val="0"/>
                                  <w:marRight w:val="0"/>
                                  <w:marTop w:val="0"/>
                                  <w:marBottom w:val="0"/>
                                  <w:divBdr>
                                    <w:top w:val="none" w:sz="0" w:space="0" w:color="auto"/>
                                    <w:left w:val="none" w:sz="0" w:space="0" w:color="auto"/>
                                    <w:bottom w:val="none" w:sz="0" w:space="0" w:color="auto"/>
                                    <w:right w:val="none" w:sz="0" w:space="0" w:color="auto"/>
                                  </w:divBdr>
                                  <w:divsChild>
                                    <w:div w:id="1628851222">
                                      <w:marLeft w:val="0"/>
                                      <w:marRight w:val="0"/>
                                      <w:marTop w:val="0"/>
                                      <w:marBottom w:val="0"/>
                                      <w:divBdr>
                                        <w:top w:val="none" w:sz="0" w:space="0" w:color="auto"/>
                                        <w:left w:val="none" w:sz="0" w:space="0" w:color="auto"/>
                                        <w:bottom w:val="none" w:sz="0" w:space="0" w:color="auto"/>
                                        <w:right w:val="none" w:sz="0" w:space="0" w:color="auto"/>
                                      </w:divBdr>
                                      <w:divsChild>
                                        <w:div w:id="1036658166">
                                          <w:marLeft w:val="0"/>
                                          <w:marRight w:val="0"/>
                                          <w:marTop w:val="0"/>
                                          <w:marBottom w:val="0"/>
                                          <w:divBdr>
                                            <w:top w:val="none" w:sz="0" w:space="0" w:color="auto"/>
                                            <w:left w:val="none" w:sz="0" w:space="0" w:color="auto"/>
                                            <w:bottom w:val="none" w:sz="0" w:space="0" w:color="auto"/>
                                            <w:right w:val="none" w:sz="0" w:space="0" w:color="auto"/>
                                          </w:divBdr>
                                          <w:divsChild>
                                            <w:div w:id="1772045035">
                                              <w:marLeft w:val="0"/>
                                              <w:marRight w:val="0"/>
                                              <w:marTop w:val="0"/>
                                              <w:marBottom w:val="0"/>
                                              <w:divBdr>
                                                <w:top w:val="none" w:sz="0" w:space="0" w:color="auto"/>
                                                <w:left w:val="none" w:sz="0" w:space="0" w:color="auto"/>
                                                <w:bottom w:val="none" w:sz="0" w:space="0" w:color="auto"/>
                                                <w:right w:val="none" w:sz="0" w:space="0" w:color="auto"/>
                                              </w:divBdr>
                                              <w:divsChild>
                                                <w:div w:id="1319770710">
                                                  <w:marLeft w:val="0"/>
                                                  <w:marRight w:val="0"/>
                                                  <w:marTop w:val="0"/>
                                                  <w:marBottom w:val="0"/>
                                                  <w:divBdr>
                                                    <w:top w:val="none" w:sz="0" w:space="0" w:color="auto"/>
                                                    <w:left w:val="none" w:sz="0" w:space="0" w:color="auto"/>
                                                    <w:bottom w:val="none" w:sz="0" w:space="0" w:color="auto"/>
                                                    <w:right w:val="none" w:sz="0" w:space="0" w:color="auto"/>
                                                  </w:divBdr>
                                                  <w:divsChild>
                                                    <w:div w:id="1569921051">
                                                      <w:marLeft w:val="0"/>
                                                      <w:marRight w:val="0"/>
                                                      <w:marTop w:val="0"/>
                                                      <w:marBottom w:val="0"/>
                                                      <w:divBdr>
                                                        <w:top w:val="none" w:sz="0" w:space="0" w:color="auto"/>
                                                        <w:left w:val="none" w:sz="0" w:space="0" w:color="auto"/>
                                                        <w:bottom w:val="none" w:sz="0" w:space="0" w:color="auto"/>
                                                        <w:right w:val="none" w:sz="0" w:space="0" w:color="auto"/>
                                                      </w:divBdr>
                                                      <w:divsChild>
                                                        <w:div w:id="6394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8819083">
      <w:bodyDiv w:val="1"/>
      <w:marLeft w:val="0"/>
      <w:marRight w:val="0"/>
      <w:marTop w:val="0"/>
      <w:marBottom w:val="0"/>
      <w:divBdr>
        <w:top w:val="none" w:sz="0" w:space="0" w:color="auto"/>
        <w:left w:val="none" w:sz="0" w:space="0" w:color="auto"/>
        <w:bottom w:val="none" w:sz="0" w:space="0" w:color="auto"/>
        <w:right w:val="none" w:sz="0" w:space="0" w:color="auto"/>
      </w:divBdr>
    </w:div>
    <w:div w:id="894506150">
      <w:bodyDiv w:val="1"/>
      <w:marLeft w:val="0"/>
      <w:marRight w:val="0"/>
      <w:marTop w:val="0"/>
      <w:marBottom w:val="0"/>
      <w:divBdr>
        <w:top w:val="none" w:sz="0" w:space="0" w:color="auto"/>
        <w:left w:val="none" w:sz="0" w:space="0" w:color="auto"/>
        <w:bottom w:val="none" w:sz="0" w:space="0" w:color="auto"/>
        <w:right w:val="none" w:sz="0" w:space="0" w:color="auto"/>
      </w:divBdr>
    </w:div>
    <w:div w:id="1192915151">
      <w:bodyDiv w:val="1"/>
      <w:marLeft w:val="0"/>
      <w:marRight w:val="0"/>
      <w:marTop w:val="0"/>
      <w:marBottom w:val="0"/>
      <w:divBdr>
        <w:top w:val="none" w:sz="0" w:space="0" w:color="auto"/>
        <w:left w:val="none" w:sz="0" w:space="0" w:color="auto"/>
        <w:bottom w:val="none" w:sz="0" w:space="0" w:color="auto"/>
        <w:right w:val="none" w:sz="0" w:space="0" w:color="auto"/>
      </w:divBdr>
      <w:divsChild>
        <w:div w:id="995186779">
          <w:marLeft w:val="0"/>
          <w:marRight w:val="0"/>
          <w:marTop w:val="0"/>
          <w:marBottom w:val="0"/>
          <w:divBdr>
            <w:top w:val="none" w:sz="0" w:space="0" w:color="auto"/>
            <w:left w:val="none" w:sz="0" w:space="0" w:color="auto"/>
            <w:bottom w:val="none" w:sz="0" w:space="0" w:color="auto"/>
            <w:right w:val="none" w:sz="0" w:space="0" w:color="auto"/>
          </w:divBdr>
          <w:divsChild>
            <w:div w:id="1618830351">
              <w:marLeft w:val="0"/>
              <w:marRight w:val="0"/>
              <w:marTop w:val="0"/>
              <w:marBottom w:val="0"/>
              <w:divBdr>
                <w:top w:val="none" w:sz="0" w:space="0" w:color="auto"/>
                <w:left w:val="none" w:sz="0" w:space="0" w:color="auto"/>
                <w:bottom w:val="none" w:sz="0" w:space="0" w:color="auto"/>
                <w:right w:val="none" w:sz="0" w:space="0" w:color="auto"/>
              </w:divBdr>
              <w:divsChild>
                <w:div w:id="2112623263">
                  <w:marLeft w:val="0"/>
                  <w:marRight w:val="0"/>
                  <w:marTop w:val="0"/>
                  <w:marBottom w:val="0"/>
                  <w:divBdr>
                    <w:top w:val="none" w:sz="0" w:space="0" w:color="auto"/>
                    <w:left w:val="none" w:sz="0" w:space="0" w:color="auto"/>
                    <w:bottom w:val="none" w:sz="0" w:space="0" w:color="auto"/>
                    <w:right w:val="none" w:sz="0" w:space="0" w:color="auto"/>
                  </w:divBdr>
                  <w:divsChild>
                    <w:div w:id="104615458">
                      <w:marLeft w:val="0"/>
                      <w:marRight w:val="0"/>
                      <w:marTop w:val="0"/>
                      <w:marBottom w:val="0"/>
                      <w:divBdr>
                        <w:top w:val="none" w:sz="0" w:space="0" w:color="auto"/>
                        <w:left w:val="none" w:sz="0" w:space="0" w:color="auto"/>
                        <w:bottom w:val="none" w:sz="0" w:space="0" w:color="auto"/>
                        <w:right w:val="none" w:sz="0" w:space="0" w:color="auto"/>
                      </w:divBdr>
                      <w:divsChild>
                        <w:div w:id="1267885493">
                          <w:marLeft w:val="0"/>
                          <w:marRight w:val="0"/>
                          <w:marTop w:val="0"/>
                          <w:marBottom w:val="0"/>
                          <w:divBdr>
                            <w:top w:val="none" w:sz="0" w:space="0" w:color="auto"/>
                            <w:left w:val="none" w:sz="0" w:space="0" w:color="auto"/>
                            <w:bottom w:val="none" w:sz="0" w:space="0" w:color="auto"/>
                            <w:right w:val="none" w:sz="0" w:space="0" w:color="auto"/>
                          </w:divBdr>
                          <w:divsChild>
                            <w:div w:id="1194418595">
                              <w:marLeft w:val="0"/>
                              <w:marRight w:val="0"/>
                              <w:marTop w:val="0"/>
                              <w:marBottom w:val="0"/>
                              <w:divBdr>
                                <w:top w:val="none" w:sz="0" w:space="0" w:color="auto"/>
                                <w:left w:val="none" w:sz="0" w:space="0" w:color="auto"/>
                                <w:bottom w:val="none" w:sz="0" w:space="0" w:color="auto"/>
                                <w:right w:val="none" w:sz="0" w:space="0" w:color="auto"/>
                              </w:divBdr>
                              <w:divsChild>
                                <w:div w:id="10836089">
                                  <w:marLeft w:val="0"/>
                                  <w:marRight w:val="0"/>
                                  <w:marTop w:val="0"/>
                                  <w:marBottom w:val="0"/>
                                  <w:divBdr>
                                    <w:top w:val="none" w:sz="0" w:space="0" w:color="auto"/>
                                    <w:left w:val="none" w:sz="0" w:space="0" w:color="auto"/>
                                    <w:bottom w:val="none" w:sz="0" w:space="0" w:color="auto"/>
                                    <w:right w:val="none" w:sz="0" w:space="0" w:color="auto"/>
                                  </w:divBdr>
                                  <w:divsChild>
                                    <w:div w:id="1087733755">
                                      <w:marLeft w:val="0"/>
                                      <w:marRight w:val="0"/>
                                      <w:marTop w:val="0"/>
                                      <w:marBottom w:val="0"/>
                                      <w:divBdr>
                                        <w:top w:val="none" w:sz="0" w:space="0" w:color="auto"/>
                                        <w:left w:val="none" w:sz="0" w:space="0" w:color="auto"/>
                                        <w:bottom w:val="none" w:sz="0" w:space="0" w:color="auto"/>
                                        <w:right w:val="none" w:sz="0" w:space="0" w:color="auto"/>
                                      </w:divBdr>
                                      <w:divsChild>
                                        <w:div w:id="1681857343">
                                          <w:marLeft w:val="0"/>
                                          <w:marRight w:val="0"/>
                                          <w:marTop w:val="0"/>
                                          <w:marBottom w:val="0"/>
                                          <w:divBdr>
                                            <w:top w:val="none" w:sz="0" w:space="0" w:color="auto"/>
                                            <w:left w:val="none" w:sz="0" w:space="0" w:color="auto"/>
                                            <w:bottom w:val="none" w:sz="0" w:space="0" w:color="auto"/>
                                            <w:right w:val="none" w:sz="0" w:space="0" w:color="auto"/>
                                          </w:divBdr>
                                          <w:divsChild>
                                            <w:div w:id="1359283396">
                                              <w:marLeft w:val="0"/>
                                              <w:marRight w:val="0"/>
                                              <w:marTop w:val="0"/>
                                              <w:marBottom w:val="0"/>
                                              <w:divBdr>
                                                <w:top w:val="none" w:sz="0" w:space="0" w:color="auto"/>
                                                <w:left w:val="none" w:sz="0" w:space="0" w:color="auto"/>
                                                <w:bottom w:val="none" w:sz="0" w:space="0" w:color="auto"/>
                                                <w:right w:val="none" w:sz="0" w:space="0" w:color="auto"/>
                                              </w:divBdr>
                                              <w:divsChild>
                                                <w:div w:id="1407648667">
                                                  <w:marLeft w:val="0"/>
                                                  <w:marRight w:val="0"/>
                                                  <w:marTop w:val="0"/>
                                                  <w:marBottom w:val="0"/>
                                                  <w:divBdr>
                                                    <w:top w:val="none" w:sz="0" w:space="0" w:color="auto"/>
                                                    <w:left w:val="none" w:sz="0" w:space="0" w:color="auto"/>
                                                    <w:bottom w:val="none" w:sz="0" w:space="0" w:color="auto"/>
                                                    <w:right w:val="none" w:sz="0" w:space="0" w:color="auto"/>
                                                  </w:divBdr>
                                                  <w:divsChild>
                                                    <w:div w:id="281227860">
                                                      <w:marLeft w:val="0"/>
                                                      <w:marRight w:val="0"/>
                                                      <w:marTop w:val="0"/>
                                                      <w:marBottom w:val="0"/>
                                                      <w:divBdr>
                                                        <w:top w:val="none" w:sz="0" w:space="0" w:color="auto"/>
                                                        <w:left w:val="none" w:sz="0" w:space="0" w:color="auto"/>
                                                        <w:bottom w:val="none" w:sz="0" w:space="0" w:color="auto"/>
                                                        <w:right w:val="none" w:sz="0" w:space="0" w:color="auto"/>
                                                      </w:divBdr>
                                                      <w:divsChild>
                                                        <w:div w:id="11774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0365914">
      <w:bodyDiv w:val="1"/>
      <w:marLeft w:val="0"/>
      <w:marRight w:val="0"/>
      <w:marTop w:val="0"/>
      <w:marBottom w:val="0"/>
      <w:divBdr>
        <w:top w:val="none" w:sz="0" w:space="0" w:color="auto"/>
        <w:left w:val="none" w:sz="0" w:space="0" w:color="auto"/>
        <w:bottom w:val="none" w:sz="0" w:space="0" w:color="auto"/>
        <w:right w:val="none" w:sz="0" w:space="0" w:color="auto"/>
      </w:divBdr>
      <w:divsChild>
        <w:div w:id="707335640">
          <w:marLeft w:val="0"/>
          <w:marRight w:val="0"/>
          <w:marTop w:val="0"/>
          <w:marBottom w:val="0"/>
          <w:divBdr>
            <w:top w:val="none" w:sz="0" w:space="0" w:color="auto"/>
            <w:left w:val="none" w:sz="0" w:space="0" w:color="auto"/>
            <w:bottom w:val="none" w:sz="0" w:space="0" w:color="auto"/>
            <w:right w:val="none" w:sz="0" w:space="0" w:color="auto"/>
          </w:divBdr>
          <w:divsChild>
            <w:div w:id="1299334547">
              <w:marLeft w:val="0"/>
              <w:marRight w:val="0"/>
              <w:marTop w:val="0"/>
              <w:marBottom w:val="0"/>
              <w:divBdr>
                <w:top w:val="none" w:sz="0" w:space="0" w:color="auto"/>
                <w:left w:val="none" w:sz="0" w:space="0" w:color="auto"/>
                <w:bottom w:val="none" w:sz="0" w:space="0" w:color="auto"/>
                <w:right w:val="none" w:sz="0" w:space="0" w:color="auto"/>
              </w:divBdr>
              <w:divsChild>
                <w:div w:id="1784768855">
                  <w:marLeft w:val="0"/>
                  <w:marRight w:val="0"/>
                  <w:marTop w:val="0"/>
                  <w:marBottom w:val="0"/>
                  <w:divBdr>
                    <w:top w:val="none" w:sz="0" w:space="0" w:color="auto"/>
                    <w:left w:val="none" w:sz="0" w:space="0" w:color="auto"/>
                    <w:bottom w:val="none" w:sz="0" w:space="0" w:color="auto"/>
                    <w:right w:val="none" w:sz="0" w:space="0" w:color="auto"/>
                  </w:divBdr>
                  <w:divsChild>
                    <w:div w:id="446394539">
                      <w:marLeft w:val="0"/>
                      <w:marRight w:val="0"/>
                      <w:marTop w:val="0"/>
                      <w:marBottom w:val="0"/>
                      <w:divBdr>
                        <w:top w:val="none" w:sz="0" w:space="0" w:color="auto"/>
                        <w:left w:val="none" w:sz="0" w:space="0" w:color="auto"/>
                        <w:bottom w:val="none" w:sz="0" w:space="0" w:color="auto"/>
                        <w:right w:val="none" w:sz="0" w:space="0" w:color="auto"/>
                      </w:divBdr>
                      <w:divsChild>
                        <w:div w:id="44448362">
                          <w:marLeft w:val="0"/>
                          <w:marRight w:val="0"/>
                          <w:marTop w:val="0"/>
                          <w:marBottom w:val="0"/>
                          <w:divBdr>
                            <w:top w:val="none" w:sz="0" w:space="0" w:color="auto"/>
                            <w:left w:val="none" w:sz="0" w:space="0" w:color="auto"/>
                            <w:bottom w:val="none" w:sz="0" w:space="0" w:color="auto"/>
                            <w:right w:val="none" w:sz="0" w:space="0" w:color="auto"/>
                          </w:divBdr>
                          <w:divsChild>
                            <w:div w:id="302391305">
                              <w:marLeft w:val="0"/>
                              <w:marRight w:val="0"/>
                              <w:marTop w:val="0"/>
                              <w:marBottom w:val="0"/>
                              <w:divBdr>
                                <w:top w:val="none" w:sz="0" w:space="0" w:color="auto"/>
                                <w:left w:val="none" w:sz="0" w:space="0" w:color="auto"/>
                                <w:bottom w:val="none" w:sz="0" w:space="0" w:color="auto"/>
                                <w:right w:val="none" w:sz="0" w:space="0" w:color="auto"/>
                              </w:divBdr>
                              <w:divsChild>
                                <w:div w:id="545722423">
                                  <w:marLeft w:val="0"/>
                                  <w:marRight w:val="0"/>
                                  <w:marTop w:val="0"/>
                                  <w:marBottom w:val="0"/>
                                  <w:divBdr>
                                    <w:top w:val="none" w:sz="0" w:space="0" w:color="auto"/>
                                    <w:left w:val="none" w:sz="0" w:space="0" w:color="auto"/>
                                    <w:bottom w:val="none" w:sz="0" w:space="0" w:color="auto"/>
                                    <w:right w:val="none" w:sz="0" w:space="0" w:color="auto"/>
                                  </w:divBdr>
                                  <w:divsChild>
                                    <w:div w:id="1747265359">
                                      <w:marLeft w:val="0"/>
                                      <w:marRight w:val="0"/>
                                      <w:marTop w:val="0"/>
                                      <w:marBottom w:val="0"/>
                                      <w:divBdr>
                                        <w:top w:val="none" w:sz="0" w:space="0" w:color="auto"/>
                                        <w:left w:val="none" w:sz="0" w:space="0" w:color="auto"/>
                                        <w:bottom w:val="none" w:sz="0" w:space="0" w:color="auto"/>
                                        <w:right w:val="none" w:sz="0" w:space="0" w:color="auto"/>
                                      </w:divBdr>
                                      <w:divsChild>
                                        <w:div w:id="341050114">
                                          <w:marLeft w:val="0"/>
                                          <w:marRight w:val="0"/>
                                          <w:marTop w:val="0"/>
                                          <w:marBottom w:val="0"/>
                                          <w:divBdr>
                                            <w:top w:val="none" w:sz="0" w:space="0" w:color="auto"/>
                                            <w:left w:val="none" w:sz="0" w:space="0" w:color="auto"/>
                                            <w:bottom w:val="none" w:sz="0" w:space="0" w:color="auto"/>
                                            <w:right w:val="none" w:sz="0" w:space="0" w:color="auto"/>
                                          </w:divBdr>
                                          <w:divsChild>
                                            <w:div w:id="1742175098">
                                              <w:marLeft w:val="0"/>
                                              <w:marRight w:val="0"/>
                                              <w:marTop w:val="0"/>
                                              <w:marBottom w:val="0"/>
                                              <w:divBdr>
                                                <w:top w:val="none" w:sz="0" w:space="0" w:color="auto"/>
                                                <w:left w:val="none" w:sz="0" w:space="0" w:color="auto"/>
                                                <w:bottom w:val="none" w:sz="0" w:space="0" w:color="auto"/>
                                                <w:right w:val="none" w:sz="0" w:space="0" w:color="auto"/>
                                              </w:divBdr>
                                              <w:divsChild>
                                                <w:div w:id="1213224485">
                                                  <w:marLeft w:val="0"/>
                                                  <w:marRight w:val="0"/>
                                                  <w:marTop w:val="0"/>
                                                  <w:marBottom w:val="0"/>
                                                  <w:divBdr>
                                                    <w:top w:val="none" w:sz="0" w:space="0" w:color="auto"/>
                                                    <w:left w:val="none" w:sz="0" w:space="0" w:color="auto"/>
                                                    <w:bottom w:val="none" w:sz="0" w:space="0" w:color="auto"/>
                                                    <w:right w:val="none" w:sz="0" w:space="0" w:color="auto"/>
                                                  </w:divBdr>
                                                  <w:divsChild>
                                                    <w:div w:id="974602873">
                                                      <w:marLeft w:val="0"/>
                                                      <w:marRight w:val="0"/>
                                                      <w:marTop w:val="0"/>
                                                      <w:marBottom w:val="0"/>
                                                      <w:divBdr>
                                                        <w:top w:val="none" w:sz="0" w:space="0" w:color="auto"/>
                                                        <w:left w:val="none" w:sz="0" w:space="0" w:color="auto"/>
                                                        <w:bottom w:val="none" w:sz="0" w:space="0" w:color="auto"/>
                                                        <w:right w:val="none" w:sz="0" w:space="0" w:color="auto"/>
                                                      </w:divBdr>
                                                      <w:divsChild>
                                                        <w:div w:id="9651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1231</Words>
  <Characters>7017</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B. Necessity of Tax Planning</vt:lpstr>
      <vt:lpstr>        Types of Tax Planning</vt:lpstr>
      <vt:lpstr>        Ans 2.</vt:lpstr>
      <vt:lpstr>        (A) Tax Liability Calculation for SGRCS Pvt Ltd.</vt:lpstr>
      <vt:lpstr>        (B) Relief from Double Taxation under Sections 90 and 91 of the Income Tax Act, </vt:lpstr>
      <vt:lpstr>        Ans 3.</vt:lpstr>
      <vt:lpstr>        (A) Best Financing Option to Reduce Tax Liability</vt:lpstr>
      <vt:lpstr>        (B) Areas of Tax Planning in Industrial Undertakings</vt:lpstr>
      <vt:lpstr>        Capital Gain Computation for Mr. Kumar</vt:lpstr>
      <vt:lpstr>        (A) Nature of Capital Gain</vt:lpstr>
      <vt:lpstr>        (B) Computation of Long-Term Capital Gain (LTCG)</vt:lpstr>
      <vt:lpstr>        (C) Capital Gain Tax Liability</vt:lpstr>
      <vt:lpstr>        (D) Option of Paying Tax at 10% Without Indexation</vt:lpstr>
      <vt:lpstr>        (E) Exemption Under Section 54</vt:lpstr>
      <vt:lpstr>        (F) Final Tax Liability After Exemption</vt:lpstr>
      <vt:lpstr>        Final Summary Table</vt:lpstr>
      <vt:lpstr>        Conclusion</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2025-02-01T06:11:00Z</dcterms:created>
  <dcterms:modified xsi:type="dcterms:W3CDTF">2025-02-01T06:24:00Z</dcterms:modified>
</cp:coreProperties>
</file>