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3FD" w:rsidRPr="004223FD" w:rsidRDefault="004223FD" w:rsidP="004223FD">
      <w:pPr>
        <w:spacing w:line="360" w:lineRule="auto"/>
        <w:jc w:val="center"/>
        <w:rPr>
          <w:rFonts w:ascii="Times New Roman" w:hAnsi="Times New Roman"/>
          <w:b/>
          <w:sz w:val="24"/>
          <w:szCs w:val="24"/>
        </w:rPr>
      </w:pPr>
      <w:r w:rsidRPr="004223FD">
        <w:rPr>
          <w:rFonts w:ascii="Times New Roman" w:hAnsi="Times New Roman"/>
          <w:b/>
          <w:sz w:val="24"/>
          <w:szCs w:val="24"/>
        </w:rPr>
        <w:t>Corporate Finance</w:t>
      </w:r>
    </w:p>
    <w:p w:rsidR="004223FD" w:rsidRPr="004223FD" w:rsidRDefault="004223FD" w:rsidP="004223FD">
      <w:pPr>
        <w:spacing w:line="360" w:lineRule="auto"/>
        <w:jc w:val="center"/>
        <w:rPr>
          <w:rFonts w:ascii="Times New Roman" w:hAnsi="Times New Roman"/>
          <w:b/>
          <w:sz w:val="24"/>
          <w:szCs w:val="24"/>
        </w:rPr>
      </w:pPr>
      <w:r w:rsidRPr="004223FD">
        <w:rPr>
          <w:rFonts w:ascii="Times New Roman" w:hAnsi="Times New Roman"/>
          <w:b/>
          <w:sz w:val="24"/>
          <w:szCs w:val="24"/>
        </w:rPr>
        <w:t>April 2025 Examination</w:t>
      </w:r>
    </w:p>
    <w:p w:rsidR="004223FD" w:rsidRPr="004223FD" w:rsidRDefault="004223FD" w:rsidP="004223FD">
      <w:pPr>
        <w:spacing w:line="360" w:lineRule="auto"/>
        <w:jc w:val="both"/>
        <w:rPr>
          <w:rFonts w:ascii="Times New Roman" w:hAnsi="Times New Roman"/>
          <w:b/>
          <w:sz w:val="24"/>
          <w:szCs w:val="24"/>
        </w:rPr>
      </w:pPr>
    </w:p>
    <w:p w:rsidR="004223FD" w:rsidRPr="004223FD" w:rsidRDefault="004223FD" w:rsidP="004223FD">
      <w:pPr>
        <w:spacing w:line="360" w:lineRule="auto"/>
        <w:jc w:val="both"/>
        <w:rPr>
          <w:rFonts w:ascii="Times New Roman" w:hAnsi="Times New Roman"/>
          <w:b/>
          <w:sz w:val="24"/>
          <w:szCs w:val="24"/>
        </w:rPr>
      </w:pPr>
    </w:p>
    <w:p w:rsidR="004223FD" w:rsidRPr="004223FD" w:rsidRDefault="004223FD" w:rsidP="004223FD">
      <w:pPr>
        <w:spacing w:line="360" w:lineRule="auto"/>
        <w:jc w:val="both"/>
        <w:rPr>
          <w:rFonts w:ascii="Times New Roman" w:hAnsi="Times New Roman"/>
          <w:b/>
          <w:sz w:val="24"/>
          <w:szCs w:val="24"/>
        </w:rPr>
      </w:pPr>
      <w:r w:rsidRPr="004223FD">
        <w:rPr>
          <w:rFonts w:ascii="Times New Roman" w:hAnsi="Times New Roman"/>
          <w:b/>
          <w:sz w:val="24"/>
          <w:szCs w:val="24"/>
        </w:rPr>
        <w:t>1. Mr. Joshi is the Finance Manager at M/s Vriddhi Impex. The Company is looking at lateral growth and diversification into garment making from cloth making. For doing this, there needs to be put up a factory with all the latest machinery for cutting and stitching garments. The cost of acquisition of land, setting up the factory and buying the machinery works out to Rs. 100 lacs. It is estimated that the project will start generating revenue immediately from year 1. The Net revenue (after tax) for the next 5 years is Rs. 20 lacs, 30 lacs, 35 lacs, 45 lacs, 48 lacs.</w:t>
      </w:r>
    </w:p>
    <w:p w:rsidR="004223FD" w:rsidRPr="004223FD" w:rsidRDefault="004223FD" w:rsidP="004223FD">
      <w:pPr>
        <w:spacing w:line="360" w:lineRule="auto"/>
        <w:jc w:val="both"/>
        <w:rPr>
          <w:rFonts w:ascii="Times New Roman" w:hAnsi="Times New Roman"/>
          <w:b/>
          <w:sz w:val="24"/>
          <w:szCs w:val="24"/>
        </w:rPr>
      </w:pPr>
      <w:r w:rsidRPr="004223FD">
        <w:rPr>
          <w:rFonts w:ascii="Times New Roman" w:hAnsi="Times New Roman"/>
          <w:b/>
          <w:sz w:val="24"/>
          <w:szCs w:val="24"/>
        </w:rPr>
        <w:t>A new loan is available to Vridhi Impex at 9% p.a. interest rate (net of tax). Mr. Joshi has another proposal which gives him a return of 12% p.a. and hence he does not want to invest below this rate.</w:t>
      </w:r>
    </w:p>
    <w:p w:rsidR="004223FD" w:rsidRPr="004223FD" w:rsidRDefault="004223FD" w:rsidP="004223FD">
      <w:pPr>
        <w:spacing w:line="360" w:lineRule="auto"/>
        <w:jc w:val="both"/>
        <w:rPr>
          <w:rFonts w:ascii="Times New Roman" w:hAnsi="Times New Roman"/>
          <w:b/>
          <w:sz w:val="24"/>
          <w:szCs w:val="24"/>
        </w:rPr>
      </w:pPr>
      <w:proofErr w:type="gramStart"/>
      <w:r w:rsidRPr="004223FD">
        <w:rPr>
          <w:rFonts w:ascii="Times New Roman" w:hAnsi="Times New Roman"/>
          <w:b/>
          <w:sz w:val="24"/>
          <w:szCs w:val="24"/>
        </w:rPr>
        <w:t>Assist  Mr.</w:t>
      </w:r>
      <w:proofErr w:type="gramEnd"/>
      <w:r w:rsidRPr="004223FD">
        <w:rPr>
          <w:rFonts w:ascii="Times New Roman" w:hAnsi="Times New Roman"/>
          <w:b/>
          <w:sz w:val="24"/>
          <w:szCs w:val="24"/>
        </w:rPr>
        <w:t xml:space="preserve"> Joshi  to evaluate the project  proposal using  NPV  and  IRR.  (</w:t>
      </w:r>
      <w:proofErr w:type="gramStart"/>
      <w:r w:rsidRPr="004223FD">
        <w:rPr>
          <w:rFonts w:ascii="Times New Roman" w:hAnsi="Times New Roman"/>
          <w:b/>
          <w:sz w:val="24"/>
          <w:szCs w:val="24"/>
        </w:rPr>
        <w:t>Show  all</w:t>
      </w:r>
      <w:proofErr w:type="gramEnd"/>
      <w:r w:rsidRPr="004223FD">
        <w:rPr>
          <w:rFonts w:ascii="Times New Roman" w:hAnsi="Times New Roman"/>
          <w:b/>
          <w:sz w:val="24"/>
          <w:szCs w:val="24"/>
        </w:rPr>
        <w:t xml:space="preserve"> calculations for comparing it with the alternative proposal also). Should he go ahead with the project proposal?     (10 Marks)</w:t>
      </w:r>
    </w:p>
    <w:p w:rsidR="004223FD" w:rsidRDefault="004223FD" w:rsidP="004223FD">
      <w:pPr>
        <w:pStyle w:val="Heading3"/>
        <w:spacing w:line="360" w:lineRule="auto"/>
        <w:jc w:val="both"/>
        <w:rPr>
          <w:rFonts w:cs="Times New Roman"/>
          <w:b/>
          <w:bCs/>
          <w:color w:val="auto"/>
          <w:sz w:val="24"/>
          <w:szCs w:val="24"/>
        </w:rPr>
      </w:pPr>
      <w:bookmarkStart w:id="0" w:name="introduction"/>
      <w:r>
        <w:rPr>
          <w:rFonts w:cs="Times New Roman"/>
          <w:b/>
          <w:bCs/>
          <w:color w:val="auto"/>
          <w:sz w:val="24"/>
          <w:szCs w:val="24"/>
        </w:rPr>
        <w:t>Ans 1.</w:t>
      </w:r>
    </w:p>
    <w:p w:rsidR="004223FD" w:rsidRPr="00AF20CD" w:rsidRDefault="004223FD" w:rsidP="004223FD">
      <w:pPr>
        <w:pStyle w:val="Heading3"/>
        <w:spacing w:line="360" w:lineRule="auto"/>
        <w:jc w:val="both"/>
        <w:rPr>
          <w:rFonts w:cs="Times New Roman"/>
          <w:color w:val="auto"/>
          <w:sz w:val="24"/>
          <w:szCs w:val="24"/>
        </w:rPr>
      </w:pPr>
      <w:r w:rsidRPr="00AF20CD">
        <w:rPr>
          <w:rFonts w:cs="Times New Roman"/>
          <w:b/>
          <w:bCs/>
          <w:color w:val="auto"/>
          <w:sz w:val="24"/>
          <w:szCs w:val="24"/>
        </w:rPr>
        <w:t>Introduction</w:t>
      </w:r>
    </w:p>
    <w:p w:rsidR="004223FD" w:rsidRPr="00AF20CD" w:rsidRDefault="004223FD" w:rsidP="004223FD">
      <w:pPr>
        <w:pStyle w:val="FirstParagraph"/>
        <w:spacing w:line="360" w:lineRule="auto"/>
        <w:jc w:val="both"/>
        <w:rPr>
          <w:rFonts w:cs="Times New Roman"/>
        </w:rPr>
      </w:pPr>
      <w:r w:rsidRPr="00AF20CD">
        <w:rPr>
          <w:rFonts w:cs="Times New Roman"/>
        </w:rPr>
        <w:t>Corporate finance focuses on strategic financial planning, investment decisions, and optimizing resources to enhance business growth and shareholder value. One of the critical aspects of corporate finance is capital budgeting, which involves evaluating potential investments and their profitability. Common tools for project evaluation include Net Present Value (NPV) and Internal Rate of Return (IRR), which assess the viability of projects based on cash flow projections and required returns.</w:t>
      </w:r>
    </w:p>
    <w:p w:rsidR="004223FD" w:rsidRPr="00AF20CD" w:rsidRDefault="004223FD" w:rsidP="006F0C0D">
      <w:pPr>
        <w:pStyle w:val="BodyText"/>
        <w:spacing w:line="360" w:lineRule="auto"/>
        <w:jc w:val="both"/>
        <w:rPr>
          <w:rFonts w:cs="Times New Roman"/>
        </w:rPr>
      </w:pPr>
      <w:r w:rsidRPr="00AF20CD">
        <w:rPr>
          <w:rFonts w:cs="Times New Roman"/>
        </w:rPr>
        <w:t xml:space="preserve">M/s Vriddhi Impex is evaluating a ₹100 lacs project to diversify into garment manufacturing. The project’s expected cash inflows for five years are ₹20 lacs, ₹30 lacs, ₹35 lacs, ₹45 lacs, and </w:t>
      </w:r>
      <w:bookmarkEnd w:id="0"/>
    </w:p>
    <w:p w:rsidR="004223FD" w:rsidRPr="004223FD" w:rsidRDefault="004223FD" w:rsidP="004223FD">
      <w:pPr>
        <w:spacing w:line="360" w:lineRule="auto"/>
        <w:jc w:val="both"/>
        <w:rPr>
          <w:rFonts w:ascii="Times New Roman" w:hAnsi="Times New Roman"/>
          <w:sz w:val="24"/>
          <w:szCs w:val="24"/>
        </w:rPr>
      </w:pPr>
    </w:p>
    <w:p w:rsidR="006F0C0D" w:rsidRDefault="006F0C0D" w:rsidP="006F0C0D">
      <w:pPr>
        <w:shd w:val="clear" w:color="auto" w:fill="FFFFFF"/>
        <w:spacing w:after="240"/>
        <w:jc w:val="center"/>
        <w:rPr>
          <w:sz w:val="27"/>
          <w:szCs w:val="27"/>
        </w:rPr>
      </w:pPr>
      <w:r>
        <w:rPr>
          <w:rFonts w:ascii="Georgia" w:hAnsi="Georgia"/>
          <w:sz w:val="33"/>
          <w:szCs w:val="33"/>
          <w:highlight w:val="red"/>
          <w:shd w:val="clear" w:color="auto" w:fill="FFFF00"/>
        </w:rPr>
        <w:lastRenderedPageBreak/>
        <w:t>It is only half solved</w:t>
      </w:r>
    </w:p>
    <w:p w:rsidR="006F0C0D" w:rsidRDefault="006F0C0D" w:rsidP="006F0C0D">
      <w:pPr>
        <w:shd w:val="clear" w:color="auto" w:fill="FFFFFF"/>
        <w:spacing w:after="0" w:line="360" w:lineRule="auto"/>
        <w:jc w:val="center"/>
        <w:rPr>
          <w:rFonts w:ascii="Georgia" w:hAnsi="Georgia" w:cs="Calibri"/>
          <w:sz w:val="33"/>
          <w:szCs w:val="33"/>
          <w:shd w:val="clear" w:color="auto" w:fill="FFFF00"/>
        </w:rPr>
      </w:pPr>
    </w:p>
    <w:p w:rsidR="006F0C0D" w:rsidRDefault="006F0C0D" w:rsidP="006F0C0D">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6F0C0D" w:rsidRDefault="006F0C0D" w:rsidP="006F0C0D">
      <w:pPr>
        <w:shd w:val="clear" w:color="auto" w:fill="FFFFFF"/>
        <w:spacing w:after="0" w:line="360" w:lineRule="auto"/>
        <w:jc w:val="center"/>
        <w:rPr>
          <w:rFonts w:ascii="Aptos" w:hAnsi="Aptos" w:cs="Calibri"/>
          <w:color w:val="0070C0"/>
          <w:sz w:val="24"/>
          <w:szCs w:val="24"/>
        </w:rPr>
      </w:pPr>
    </w:p>
    <w:p w:rsidR="006F0C0D" w:rsidRDefault="006F0C0D" w:rsidP="006F0C0D">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 xml:space="preserve">APRIL </w:t>
      </w:r>
      <w:r>
        <w:rPr>
          <w:rFonts w:ascii="Georgia" w:hAnsi="Georgia" w:cs="Calibri"/>
          <w:b/>
          <w:bCs/>
          <w:sz w:val="33"/>
          <w:szCs w:val="33"/>
          <w:shd w:val="clear" w:color="auto" w:fill="FFFF00"/>
        </w:rPr>
        <w:t xml:space="preserve"> 2025,</w:t>
      </w:r>
    </w:p>
    <w:p w:rsidR="006F0C0D" w:rsidRDefault="006F0C0D" w:rsidP="006F0C0D">
      <w:pPr>
        <w:shd w:val="clear" w:color="auto" w:fill="FFFFFF"/>
        <w:spacing w:after="0" w:line="360" w:lineRule="auto"/>
        <w:jc w:val="center"/>
        <w:rPr>
          <w:rFonts w:ascii="Arial" w:hAnsi="Arial" w:cs="Calibri"/>
        </w:rPr>
      </w:pPr>
    </w:p>
    <w:p w:rsidR="006F0C0D" w:rsidRDefault="006F0C0D" w:rsidP="006F0C0D">
      <w:pPr>
        <w:shd w:val="clear" w:color="auto" w:fill="FFFFFF"/>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2024</w:t>
      </w:r>
      <w:r>
        <w:rPr>
          <w:rFonts w:ascii="Georgia" w:hAnsi="Georgia" w:cs="Calibri"/>
          <w:sz w:val="33"/>
          <w:szCs w:val="33"/>
        </w:rPr>
        <w:t>.</w:t>
      </w:r>
    </w:p>
    <w:p w:rsidR="006F0C0D" w:rsidRDefault="006F0C0D" w:rsidP="006F0C0D">
      <w:pPr>
        <w:shd w:val="clear" w:color="auto" w:fill="FFFFFF"/>
        <w:spacing w:after="0" w:line="360" w:lineRule="auto"/>
        <w:jc w:val="center"/>
        <w:rPr>
          <w:rFonts w:ascii="Georgia" w:hAnsi="Georgia" w:cs="Calibri"/>
          <w:sz w:val="33"/>
          <w:szCs w:val="33"/>
        </w:rPr>
      </w:pPr>
    </w:p>
    <w:p w:rsidR="006F0C0D" w:rsidRDefault="006F0C0D" w:rsidP="006F0C0D">
      <w:pPr>
        <w:shd w:val="clear" w:color="auto" w:fill="FFFFFF"/>
        <w:spacing w:after="0" w:line="360" w:lineRule="auto"/>
        <w:jc w:val="center"/>
        <w:rPr>
          <w:rFonts w:cs="Calibri"/>
        </w:rPr>
      </w:pPr>
      <w:r>
        <w:rPr>
          <w:rFonts w:ascii="Georgia" w:hAnsi="Georgia" w:cs="Calibri"/>
          <w:sz w:val="33"/>
          <w:szCs w:val="33"/>
        </w:rPr>
        <w:t>Lowest price guarantee with quality.</w:t>
      </w:r>
    </w:p>
    <w:p w:rsidR="006F0C0D" w:rsidRDefault="006F0C0D" w:rsidP="006F0C0D">
      <w:pPr>
        <w:shd w:val="clear" w:color="auto" w:fill="FFFFFF"/>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INR 299 only per assignment. </w:t>
      </w:r>
      <w:r>
        <w:rPr>
          <w:rFonts w:ascii="Georgia" w:hAnsi="Georgia" w:cs="Calibri"/>
          <w:sz w:val="33"/>
          <w:szCs w:val="33"/>
        </w:rPr>
        <w:t>For more information you can get via mail or Whats app also</w:t>
      </w:r>
    </w:p>
    <w:p w:rsidR="006F0C0D" w:rsidRDefault="006F0C0D" w:rsidP="006F0C0D">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7" w:history="1">
        <w:r w:rsidRPr="00A36F3C">
          <w:rPr>
            <w:rStyle w:val="Hyperlink"/>
            <w:rFonts w:ascii="Georgia" w:hAnsi="Georgia" w:cs="Calibri"/>
            <w:sz w:val="33"/>
          </w:rPr>
          <w:t>bestassignment247@gmail.com</w:t>
        </w:r>
      </w:hyperlink>
    </w:p>
    <w:p w:rsidR="006F0C0D" w:rsidRDefault="006F0C0D" w:rsidP="006F0C0D">
      <w:pPr>
        <w:shd w:val="clear" w:color="auto" w:fill="FFFFFF"/>
        <w:spacing w:after="0" w:line="360" w:lineRule="auto"/>
        <w:jc w:val="center"/>
        <w:rPr>
          <w:rFonts w:ascii="Aptos" w:hAnsi="Aptos" w:cs="Calibri"/>
        </w:rPr>
      </w:pPr>
    </w:p>
    <w:p w:rsidR="006F0C0D" w:rsidRDefault="006F0C0D" w:rsidP="006F0C0D">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8" w:history="1">
        <w:r w:rsidRPr="00A36F3C">
          <w:rPr>
            <w:rStyle w:val="Hyperlink"/>
            <w:rFonts w:ascii="Georgia" w:hAnsi="Georgia" w:cs="Calibri"/>
            <w:sz w:val="33"/>
            <w:shd w:val="clear" w:color="auto" w:fill="00FF00"/>
          </w:rPr>
          <w:t>www.assignmentsupport.in.com</w:t>
        </w:r>
      </w:hyperlink>
    </w:p>
    <w:p w:rsidR="006F0C0D" w:rsidRDefault="006F0C0D" w:rsidP="006F0C0D">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6F0C0D" w:rsidRDefault="006F0C0D" w:rsidP="006F0C0D">
      <w:pPr>
        <w:shd w:val="clear" w:color="auto" w:fill="FFFFFF"/>
        <w:spacing w:after="0" w:line="360" w:lineRule="auto"/>
        <w:jc w:val="center"/>
        <w:rPr>
          <w:rFonts w:cs="Calibri"/>
        </w:rPr>
      </w:pPr>
      <w:r>
        <w:rPr>
          <w:rFonts w:ascii="Georgia" w:hAnsi="Georgia" w:cs="Calibri"/>
          <w:sz w:val="33"/>
          <w:szCs w:val="33"/>
        </w:rPr>
        <w:t>1 hour.</w:t>
      </w:r>
    </w:p>
    <w:p w:rsidR="006F0C0D" w:rsidRDefault="006F0C0D" w:rsidP="006F0C0D">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 xml:space="preserve">also contact on </w:t>
      </w:r>
      <w:proofErr w:type="gramStart"/>
      <w:r>
        <w:rPr>
          <w:rFonts w:ascii="Georgia" w:hAnsi="Georgia" w:cs="Calibri"/>
          <w:sz w:val="33"/>
          <w:szCs w:val="33"/>
        </w:rPr>
        <w:t>our</w:t>
      </w:r>
      <w:proofErr w:type="gramEnd"/>
    </w:p>
    <w:p w:rsidR="006F0C0D" w:rsidRDefault="006F0C0D" w:rsidP="006F0C0D">
      <w:pPr>
        <w:spacing w:line="360" w:lineRule="auto"/>
        <w:jc w:val="center"/>
        <w:rPr>
          <w:rFonts w:ascii="Times New Roman" w:hAnsi="Times New Roman"/>
          <w:sz w:val="24"/>
          <w:szCs w:val="24"/>
        </w:rPr>
      </w:pPr>
      <w:r>
        <w:rPr>
          <w:rFonts w:ascii="Georgia" w:hAnsi="Georgia" w:cs="Calibri"/>
          <w:sz w:val="33"/>
          <w:szCs w:val="33"/>
          <w:shd w:val="clear" w:color="auto" w:fill="FF0000"/>
        </w:rPr>
        <w:t>Whatsapp no OR Contact no is +91 8791514139</w:t>
      </w:r>
    </w:p>
    <w:p w:rsidR="004223FD" w:rsidRPr="004223FD" w:rsidRDefault="004223FD" w:rsidP="004223FD">
      <w:pPr>
        <w:spacing w:line="360" w:lineRule="auto"/>
        <w:jc w:val="both"/>
        <w:rPr>
          <w:rFonts w:ascii="Times New Roman" w:hAnsi="Times New Roman"/>
          <w:sz w:val="24"/>
          <w:szCs w:val="24"/>
        </w:rPr>
      </w:pP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2. Parag is evaluating 3 options for investment of his surplus money of Rs. 15,00,000/- for a period of 5 years.</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i.   Invest it in a Debenture which gives him a return of 12% compounded quarterly.</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ii.  Invest in a Corporate Deposit at a rate of 9% compounded bi-annually.</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iii. Invest it in a Business Proposal which gives him the following returns.</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Considering the risk involved, the discounting factor is considered @ 11%.</w:t>
      </w:r>
    </w:p>
    <w:p w:rsidR="004223FD" w:rsidRPr="0037647A" w:rsidRDefault="004223FD" w:rsidP="004223FD">
      <w:pPr>
        <w:spacing w:line="360" w:lineRule="auto"/>
        <w:jc w:val="both"/>
        <w:rPr>
          <w:rFonts w:ascii="Times New Roman" w:hAnsi="Times New Roman"/>
          <w:b/>
          <w:sz w:val="24"/>
          <w:szCs w:val="24"/>
        </w:rPr>
      </w:pPr>
    </w:p>
    <w:tbl>
      <w:tblPr>
        <w:tblW w:w="5000" w:type="pct"/>
        <w:tblCellMar>
          <w:left w:w="0" w:type="dxa"/>
          <w:right w:w="0" w:type="dxa"/>
        </w:tblCellMar>
        <w:tblLook w:val="0000" w:firstRow="0" w:lastRow="0" w:firstColumn="0" w:lastColumn="0" w:noHBand="0" w:noVBand="0"/>
      </w:tblPr>
      <w:tblGrid>
        <w:gridCol w:w="3970"/>
        <w:gridCol w:w="5140"/>
      </w:tblGrid>
      <w:tr w:rsidR="004223FD" w:rsidRPr="0037647A" w:rsidTr="0014008E">
        <w:trPr>
          <w:trHeight w:hRule="exact" w:val="422"/>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Year</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CF</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1</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250,000</w:t>
            </w:r>
          </w:p>
        </w:tc>
      </w:tr>
      <w:tr w:rsidR="004223FD" w:rsidRPr="0037647A" w:rsidTr="0014008E">
        <w:trPr>
          <w:trHeight w:hRule="exact" w:val="422"/>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2</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350,000</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3</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575,000</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4</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525,000</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5</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645,000</w:t>
            </w:r>
          </w:p>
        </w:tc>
      </w:tr>
    </w:tbl>
    <w:p w:rsidR="004223FD" w:rsidRPr="0037647A" w:rsidRDefault="004223FD" w:rsidP="004223FD">
      <w:pPr>
        <w:spacing w:line="360" w:lineRule="auto"/>
        <w:jc w:val="both"/>
        <w:rPr>
          <w:rFonts w:ascii="Times New Roman" w:hAnsi="Times New Roman"/>
          <w:b/>
          <w:sz w:val="24"/>
          <w:szCs w:val="24"/>
        </w:rPr>
      </w:pP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As his finance advisor which option would you suggest him. Provide reasons.  (10 marks)</w:t>
      </w:r>
    </w:p>
    <w:p w:rsidR="0037647A" w:rsidRPr="0037647A" w:rsidRDefault="0037647A" w:rsidP="0037647A">
      <w:pPr>
        <w:pStyle w:val="Heading3"/>
        <w:spacing w:line="360" w:lineRule="auto"/>
        <w:jc w:val="both"/>
        <w:rPr>
          <w:rFonts w:cs="Times New Roman"/>
          <w:b/>
          <w:bCs/>
          <w:color w:val="auto"/>
          <w:sz w:val="24"/>
          <w:szCs w:val="24"/>
        </w:rPr>
      </w:pPr>
      <w:r w:rsidRPr="0037647A">
        <w:rPr>
          <w:rFonts w:cs="Times New Roman"/>
          <w:b/>
          <w:bCs/>
          <w:color w:val="auto"/>
          <w:sz w:val="24"/>
          <w:szCs w:val="24"/>
        </w:rPr>
        <w:t>Ans 2.</w:t>
      </w:r>
    </w:p>
    <w:p w:rsidR="0037647A" w:rsidRPr="001E33AF" w:rsidRDefault="0037647A" w:rsidP="0037647A">
      <w:pPr>
        <w:pStyle w:val="Heading3"/>
        <w:spacing w:line="360" w:lineRule="auto"/>
        <w:jc w:val="both"/>
        <w:rPr>
          <w:rFonts w:cs="Times New Roman"/>
          <w:color w:val="auto"/>
          <w:sz w:val="24"/>
          <w:szCs w:val="24"/>
        </w:rPr>
      </w:pPr>
      <w:r w:rsidRPr="001E33AF">
        <w:rPr>
          <w:rFonts w:cs="Times New Roman"/>
          <w:b/>
          <w:bCs/>
          <w:color w:val="auto"/>
          <w:sz w:val="24"/>
          <w:szCs w:val="24"/>
        </w:rPr>
        <w:t>Introduction</w:t>
      </w:r>
    </w:p>
    <w:p w:rsidR="0037647A" w:rsidRPr="001E33AF" w:rsidRDefault="0037647A" w:rsidP="0037647A">
      <w:pPr>
        <w:pStyle w:val="FirstParagraph"/>
        <w:spacing w:line="360" w:lineRule="auto"/>
        <w:jc w:val="both"/>
        <w:rPr>
          <w:rFonts w:cs="Times New Roman"/>
        </w:rPr>
      </w:pPr>
      <w:r w:rsidRPr="001E33AF">
        <w:rPr>
          <w:rFonts w:cs="Times New Roman"/>
        </w:rPr>
        <w:t>Investment decisions are critical for maximizing returns on surplus funds while managing associated risks. Evaluating investment options involves considering the time value of money, the nature of returns, and the risk-reward tradeoff. This requires the use of financial techniques like future value (FV) and Net Present Value (NPV), which provide a clear understanding of the profitability and feasibility of different options.</w:t>
      </w:r>
    </w:p>
    <w:p w:rsidR="0037647A" w:rsidRPr="001E33AF" w:rsidRDefault="0037647A" w:rsidP="006F0C0D">
      <w:pPr>
        <w:pStyle w:val="BodyText"/>
        <w:spacing w:line="360" w:lineRule="auto"/>
        <w:jc w:val="both"/>
        <w:rPr>
          <w:rFonts w:cs="Times New Roman"/>
        </w:rPr>
      </w:pPr>
      <w:r w:rsidRPr="001E33AF">
        <w:rPr>
          <w:rFonts w:cs="Times New Roman"/>
        </w:rPr>
        <w:t xml:space="preserve">Parag has ₹15,00,000 available for investment over five years. He is considering three options: a debenture offering 12% returns compounded quarterly, a corporate deposit at 9% compounded </w:t>
      </w:r>
    </w:p>
    <w:p w:rsidR="004223FD" w:rsidRDefault="004223FD" w:rsidP="004223FD">
      <w:pPr>
        <w:spacing w:line="360" w:lineRule="auto"/>
        <w:jc w:val="both"/>
        <w:rPr>
          <w:rFonts w:ascii="Times New Roman" w:hAnsi="Times New Roman"/>
          <w:sz w:val="24"/>
          <w:szCs w:val="24"/>
        </w:rPr>
      </w:pPr>
    </w:p>
    <w:p w:rsidR="004223FD" w:rsidRPr="002032BC" w:rsidRDefault="004223FD" w:rsidP="004223FD">
      <w:pPr>
        <w:spacing w:line="360" w:lineRule="auto"/>
        <w:jc w:val="both"/>
        <w:rPr>
          <w:rFonts w:ascii="Times New Roman" w:hAnsi="Times New Roman"/>
          <w:b/>
          <w:sz w:val="24"/>
          <w:szCs w:val="24"/>
        </w:rPr>
      </w:pPr>
    </w:p>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xml:space="preserve">3. </w:t>
      </w:r>
      <w:proofErr w:type="gramStart"/>
      <w:r w:rsidRPr="002032BC">
        <w:rPr>
          <w:rFonts w:ascii="Times New Roman" w:hAnsi="Times New Roman"/>
          <w:b/>
          <w:sz w:val="24"/>
          <w:szCs w:val="24"/>
        </w:rPr>
        <w:t>a)  In</w:t>
      </w:r>
      <w:proofErr w:type="gramEnd"/>
      <w:r w:rsidRPr="002032BC">
        <w:rPr>
          <w:rFonts w:ascii="Times New Roman" w:hAnsi="Times New Roman"/>
          <w:b/>
          <w:sz w:val="24"/>
          <w:szCs w:val="24"/>
        </w:rPr>
        <w:t xml:space="preserve"> the following Balance sheet, calculate the Current Ratio and the Acid Test Ratio for both years Mar 2024 and Mar 2023. What do they indicate about the company’s financial position and the movement over the years?    (5 Marks)</w:t>
      </w:r>
    </w:p>
    <w:tbl>
      <w:tblPr>
        <w:tblW w:w="5000" w:type="pct"/>
        <w:tblCellMar>
          <w:left w:w="0" w:type="dxa"/>
          <w:right w:w="0" w:type="dxa"/>
        </w:tblCellMar>
        <w:tblLook w:val="0000" w:firstRow="0" w:lastRow="0" w:firstColumn="0" w:lastColumn="0" w:noHBand="0" w:noVBand="0"/>
      </w:tblPr>
      <w:tblGrid>
        <w:gridCol w:w="4706"/>
        <w:gridCol w:w="2502"/>
        <w:gridCol w:w="1902"/>
      </w:tblGrid>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Tata Motors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634"/>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p>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Standalone Balance Sheet</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in Rs. Cr. -----------------</w:t>
            </w:r>
          </w:p>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Mar 24</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Mar. 23</w:t>
            </w:r>
          </w:p>
        </w:tc>
      </w:tr>
      <w:tr w:rsidR="004223FD" w:rsidRPr="002032BC" w:rsidTr="002032BC">
        <w:trPr>
          <w:trHeight w:hRule="exact" w:val="329"/>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EQUITIES AND LIABILITIES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SHAREHOLDER'S FUNDS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Equity Share Capital</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766.50</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766.02</w:t>
            </w:r>
          </w:p>
        </w:tc>
      </w:tr>
      <w:tr w:rsidR="004223FD" w:rsidRPr="002032BC" w:rsidTr="002032BC">
        <w:trPr>
          <w:trHeight w:hRule="exact" w:val="317"/>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Share Capital</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766.50</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766.02</w:t>
            </w:r>
          </w:p>
        </w:tc>
      </w:tr>
      <w:tr w:rsidR="004223FD" w:rsidRPr="002032BC" w:rsidTr="002032BC">
        <w:trPr>
          <w:trHeight w:hRule="exact" w:val="33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Reserves and Surplus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29,374.83</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21,701.37</w:t>
            </w:r>
          </w:p>
        </w:tc>
      </w:tr>
      <w:tr w:rsidR="004223FD" w:rsidRPr="002032BC" w:rsidTr="002032BC">
        <w:trPr>
          <w:trHeight w:hRule="exact" w:val="317"/>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Reserves and Surplus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29,374.83</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21,701.37</w:t>
            </w:r>
          </w:p>
        </w:tc>
      </w:tr>
      <w:tr w:rsidR="004223FD" w:rsidRPr="002032BC" w:rsidTr="002032BC">
        <w:trPr>
          <w:trHeight w:hRule="exact" w:val="33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Money Received Against Share Warrants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w:t>
            </w:r>
          </w:p>
        </w:tc>
      </w:tr>
      <w:tr w:rsidR="004223FD" w:rsidRPr="002032BC" w:rsidTr="002032BC">
        <w:trPr>
          <w:trHeight w:hRule="exact" w:val="319"/>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Shareholders Funds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30,141.33</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22,467.39</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1.72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2.46</w:t>
            </w:r>
          </w:p>
        </w:tc>
      </w:tr>
      <w:tr w:rsidR="004223FD" w:rsidRPr="002032BC" w:rsidTr="002032BC">
        <w:trPr>
          <w:trHeight w:hRule="exact" w:val="329"/>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NON-CURRENT LIABILITIES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Long Term Borrowings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5,235.67</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10,445.70</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Deferred Tax Liabilities [Net]</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49.78</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51.16</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xml:space="preserve">Other </w:t>
            </w:r>
            <w:proofErr w:type="gramStart"/>
            <w:r w:rsidRPr="002032BC">
              <w:rPr>
                <w:rFonts w:ascii="Times New Roman" w:hAnsi="Times New Roman"/>
                <w:b/>
                <w:sz w:val="24"/>
                <w:szCs w:val="24"/>
              </w:rPr>
              <w:t>Long Term</w:t>
            </w:r>
            <w:proofErr w:type="gramEnd"/>
            <w:r w:rsidRPr="002032BC">
              <w:rPr>
                <w:rFonts w:ascii="Times New Roman" w:hAnsi="Times New Roman"/>
                <w:b/>
                <w:sz w:val="24"/>
                <w:szCs w:val="24"/>
              </w:rPr>
              <w:t xml:space="preserve"> Liabilities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1,392.16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1,411.78</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Long Term Provisions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1,936.92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1,588.75</w:t>
            </w:r>
          </w:p>
        </w:tc>
      </w:tr>
      <w:tr w:rsidR="004223FD" w:rsidRPr="002032BC" w:rsidTr="002032BC">
        <w:trPr>
          <w:trHeight w:hRule="exact" w:val="320"/>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Non-Current Liabilities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8,614.53</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13,497.39</w:t>
            </w:r>
          </w:p>
        </w:tc>
      </w:tr>
      <w:tr w:rsidR="004223FD" w:rsidRPr="002032BC" w:rsidTr="002032BC">
        <w:trPr>
          <w:trHeight w:hRule="exact" w:val="331"/>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CURRENT LIABILITIES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Short Term Borrowings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8,535.37</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8,426.74</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Trade Payables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8,826.46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7,162.60</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Current Liabilities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8,830.41</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9,805.30</w:t>
            </w:r>
          </w:p>
        </w:tc>
      </w:tr>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Short Term Provisions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1,133.92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408.89</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Current Liabilities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27,326.16</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25,803.53</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xml:space="preserve">Total Capital </w:t>
            </w:r>
            <w:proofErr w:type="gramStart"/>
            <w:r w:rsidRPr="002032BC">
              <w:rPr>
                <w:rFonts w:ascii="Times New Roman" w:hAnsi="Times New Roman"/>
                <w:b/>
                <w:sz w:val="24"/>
                <w:szCs w:val="24"/>
              </w:rPr>
              <w:t>And</w:t>
            </w:r>
            <w:proofErr w:type="gramEnd"/>
            <w:r w:rsidRPr="002032BC">
              <w:rPr>
                <w:rFonts w:ascii="Times New Roman" w:hAnsi="Times New Roman"/>
                <w:b/>
                <w:sz w:val="24"/>
                <w:szCs w:val="24"/>
              </w:rPr>
              <w:t xml:space="preserve"> Liabilities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66,083.74</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61,770.77</w:t>
            </w:r>
          </w:p>
        </w:tc>
      </w:tr>
      <w:tr w:rsidR="004223FD" w:rsidRPr="002032BC" w:rsidTr="002032BC">
        <w:trPr>
          <w:trHeight w:hRule="exact" w:val="334"/>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ASSETS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NON-CURRENT ASSETS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Tangible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11,990.26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12,129.14</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Intangible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2,353.79</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2,413.18</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Capital Work-In-Progress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645.03</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575.65</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Intangible Assets Under Development</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588.92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509.30</w:t>
            </w:r>
          </w:p>
        </w:tc>
      </w:tr>
      <w:tr w:rsidR="004223FD" w:rsidRPr="002032BC" w:rsidTr="002032BC">
        <w:trPr>
          <w:trHeight w:hRule="exact" w:val="319"/>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Fixed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15,578.00</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15,627.27</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Non-Current Investments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30,315.57</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29,181.62</w:t>
            </w:r>
          </w:p>
        </w:tc>
      </w:tr>
      <w:tr w:rsidR="004223FD" w:rsidRPr="002032BC" w:rsidTr="002032BC">
        <w:trPr>
          <w:trHeight w:hRule="exact" w:val="327"/>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Deferred Tax Assets [Net]</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1,558.65</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1,477.26</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xml:space="preserve">Long Term Loans </w:t>
            </w:r>
            <w:proofErr w:type="gramStart"/>
            <w:r w:rsidRPr="002032BC">
              <w:rPr>
                <w:rFonts w:ascii="Times New Roman" w:hAnsi="Times New Roman"/>
                <w:b/>
                <w:sz w:val="24"/>
                <w:szCs w:val="24"/>
              </w:rPr>
              <w:t>And</w:t>
            </w:r>
            <w:proofErr w:type="gramEnd"/>
            <w:r w:rsidRPr="002032BC">
              <w:rPr>
                <w:rFonts w:ascii="Times New Roman" w:hAnsi="Times New Roman"/>
                <w:b/>
                <w:sz w:val="24"/>
                <w:szCs w:val="24"/>
              </w:rPr>
              <w:t xml:space="preserve"> Advances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101.89</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114.40</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Non-Current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3,321.96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3,870.27</w:t>
            </w:r>
          </w:p>
        </w:tc>
      </w:tr>
      <w:tr w:rsidR="004223FD" w:rsidRPr="002032BC" w:rsidTr="002032BC">
        <w:trPr>
          <w:trHeight w:hRule="exact" w:val="319"/>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Non-Current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50,876.07</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50,270.82</w:t>
            </w:r>
          </w:p>
        </w:tc>
      </w:tr>
      <w:tr w:rsidR="004223FD" w:rsidRPr="002032BC" w:rsidTr="002032BC">
        <w:trPr>
          <w:trHeight w:hRule="exact" w:val="331"/>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CURRENT ASSETS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Current Investments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1,993.50</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3,142.96</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Inventories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3,470.38</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3,027.90</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Trade Receivables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2,765.16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2,307.72</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xml:space="preserve">Cash </w:t>
            </w:r>
            <w:proofErr w:type="gramStart"/>
            <w:r w:rsidRPr="002032BC">
              <w:rPr>
                <w:rFonts w:ascii="Times New Roman" w:hAnsi="Times New Roman"/>
                <w:b/>
                <w:sz w:val="24"/>
                <w:szCs w:val="24"/>
              </w:rPr>
              <w:t>And</w:t>
            </w:r>
            <w:proofErr w:type="gramEnd"/>
            <w:r w:rsidRPr="002032BC">
              <w:rPr>
                <w:rFonts w:ascii="Times New Roman" w:hAnsi="Times New Roman"/>
                <w:b/>
                <w:sz w:val="24"/>
                <w:szCs w:val="24"/>
              </w:rPr>
              <w:t xml:space="preserve"> Cash Equivalents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5,150.96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1,414.65</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Short Term Loans and Advances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132.19</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132.29</w:t>
            </w:r>
          </w:p>
        </w:tc>
      </w:tr>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Current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1,695.48</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1,474.43</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Current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15,207.67</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11,499.95</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66,083.74</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61,770.77</w:t>
            </w:r>
          </w:p>
        </w:tc>
      </w:tr>
    </w:tbl>
    <w:p w:rsidR="004223FD" w:rsidRPr="002032BC" w:rsidRDefault="004223FD" w:rsidP="004223FD">
      <w:pPr>
        <w:spacing w:line="360" w:lineRule="auto"/>
        <w:jc w:val="both"/>
        <w:rPr>
          <w:rFonts w:ascii="Times New Roman" w:hAnsi="Times New Roman"/>
          <w:b/>
          <w:sz w:val="24"/>
          <w:szCs w:val="24"/>
        </w:rPr>
      </w:pPr>
    </w:p>
    <w:p w:rsidR="004223FD" w:rsidRPr="002032BC" w:rsidRDefault="004223FD" w:rsidP="004223FD">
      <w:pPr>
        <w:spacing w:line="360" w:lineRule="auto"/>
        <w:jc w:val="both"/>
        <w:rPr>
          <w:rFonts w:ascii="Times New Roman" w:hAnsi="Times New Roman"/>
          <w:b/>
          <w:sz w:val="24"/>
          <w:szCs w:val="24"/>
        </w:rPr>
      </w:pPr>
    </w:p>
    <w:p w:rsidR="002032BC" w:rsidRPr="002032BC" w:rsidRDefault="002032BC" w:rsidP="002032BC">
      <w:pPr>
        <w:pStyle w:val="Heading3"/>
        <w:spacing w:line="360" w:lineRule="auto"/>
        <w:jc w:val="both"/>
        <w:rPr>
          <w:rFonts w:eastAsia="Times New Roman" w:cs="Times New Roman"/>
          <w:b/>
          <w:color w:val="auto"/>
          <w:sz w:val="24"/>
          <w:szCs w:val="24"/>
          <w:lang w:val="en-IN" w:eastAsia="en-IN"/>
        </w:rPr>
      </w:pPr>
      <w:r w:rsidRPr="002032BC">
        <w:rPr>
          <w:rFonts w:eastAsia="Times New Roman" w:cs="Times New Roman"/>
          <w:b/>
          <w:color w:val="auto"/>
          <w:sz w:val="24"/>
          <w:szCs w:val="24"/>
          <w:lang w:val="en-IN" w:eastAsia="en-IN"/>
        </w:rPr>
        <w:t>Ans 3a.</w:t>
      </w:r>
    </w:p>
    <w:p w:rsidR="002032BC" w:rsidRPr="00BE7479" w:rsidRDefault="002032BC" w:rsidP="002032BC">
      <w:pPr>
        <w:pStyle w:val="Heading3"/>
        <w:spacing w:line="360" w:lineRule="auto"/>
        <w:jc w:val="both"/>
        <w:rPr>
          <w:rFonts w:cs="Times New Roman"/>
          <w:color w:val="auto"/>
          <w:sz w:val="24"/>
          <w:szCs w:val="24"/>
        </w:rPr>
      </w:pPr>
      <w:r w:rsidRPr="00BE7479">
        <w:rPr>
          <w:rFonts w:cs="Times New Roman"/>
          <w:b/>
          <w:bCs/>
          <w:color w:val="auto"/>
          <w:sz w:val="24"/>
          <w:szCs w:val="24"/>
        </w:rPr>
        <w:t>Introduction</w:t>
      </w:r>
    </w:p>
    <w:p w:rsidR="002032BC" w:rsidRPr="00BE7479" w:rsidRDefault="002032BC" w:rsidP="006F0C0D">
      <w:pPr>
        <w:pStyle w:val="FirstParagraph"/>
        <w:spacing w:line="360" w:lineRule="auto"/>
        <w:jc w:val="both"/>
        <w:rPr>
          <w:rFonts w:cs="Times New Roman"/>
        </w:rPr>
      </w:pPr>
      <w:r w:rsidRPr="00BE7479">
        <w:rPr>
          <w:rFonts w:cs="Times New Roman"/>
        </w:rPr>
        <w:t xml:space="preserve">Analyzing a company’s financial position is essential for understanding its short-term liquidity and ability to meet immediate obligations. Two critical metrics for this purpose are the </w:t>
      </w:r>
      <w:r w:rsidRPr="00BE7479">
        <w:rPr>
          <w:rFonts w:cs="Times New Roman"/>
          <w:b/>
          <w:bCs/>
        </w:rPr>
        <w:t>Current Ratio</w:t>
      </w:r>
      <w:r w:rsidRPr="00BE7479">
        <w:rPr>
          <w:rFonts w:cs="Times New Roman"/>
        </w:rPr>
        <w:t xml:space="preserve"> and the </w:t>
      </w:r>
      <w:r w:rsidRPr="00BE7479">
        <w:rPr>
          <w:rFonts w:cs="Times New Roman"/>
          <w:b/>
          <w:bCs/>
        </w:rPr>
        <w:t>Acid Test Ratio (Quick Ratio)</w:t>
      </w:r>
      <w:r w:rsidRPr="00BE7479">
        <w:rPr>
          <w:rFonts w:cs="Times New Roman"/>
        </w:rPr>
        <w:t xml:space="preserve">. These ratios measure a firm's ability to cover current liabilities using its current assets. The financial health of Tata Motors for the financial years ending March 2024 and March 2023 will be evaluated using these metrics to observe any </w:t>
      </w:r>
    </w:p>
    <w:p w:rsidR="002032BC" w:rsidRDefault="002032BC" w:rsidP="002032BC">
      <w:pPr>
        <w:pStyle w:val="BodyText"/>
        <w:spacing w:line="360" w:lineRule="auto"/>
        <w:jc w:val="both"/>
        <w:rPr>
          <w:rFonts w:cs="Times New Roman"/>
          <w:b/>
        </w:rPr>
      </w:pPr>
    </w:p>
    <w:p w:rsidR="002032BC" w:rsidRPr="002032BC" w:rsidRDefault="002032BC" w:rsidP="002032BC">
      <w:pPr>
        <w:pStyle w:val="BodyText"/>
        <w:spacing w:line="360" w:lineRule="auto"/>
        <w:jc w:val="both"/>
        <w:rPr>
          <w:rFonts w:cs="Times New Roman"/>
          <w:b/>
        </w:rPr>
      </w:pP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b)    Monica has a debenture of Face value Rs. 100/- @ 8.5%. Calculate its current yield if: (5 Marks)</w:t>
      </w: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i)   Market Price is Rs. 98.90</w:t>
      </w: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 xml:space="preserve"> ii)  Market Price is Rs. 95.20 iii) Market Price is Rs. 105</w:t>
      </w: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What inference can you draw from this about the relation between Market price and yield?</w:t>
      </w:r>
    </w:p>
    <w:p w:rsidR="002032BC" w:rsidRPr="00BE7479" w:rsidRDefault="002032BC" w:rsidP="002032BC">
      <w:pPr>
        <w:pStyle w:val="BodyText"/>
        <w:spacing w:line="360" w:lineRule="auto"/>
        <w:jc w:val="both"/>
        <w:rPr>
          <w:rFonts w:cs="Times New Roman"/>
          <w:b/>
        </w:rPr>
      </w:pPr>
      <w:r w:rsidRPr="00BE7479">
        <w:rPr>
          <w:rFonts w:cs="Times New Roman"/>
          <w:b/>
        </w:rPr>
        <w:t>Ans 3b.</w:t>
      </w:r>
    </w:p>
    <w:p w:rsidR="002032BC" w:rsidRPr="00BE7479" w:rsidRDefault="002032BC" w:rsidP="002032BC">
      <w:pPr>
        <w:pStyle w:val="Heading3"/>
        <w:spacing w:line="360" w:lineRule="auto"/>
        <w:jc w:val="both"/>
        <w:rPr>
          <w:rFonts w:cs="Times New Roman"/>
          <w:color w:val="auto"/>
          <w:sz w:val="24"/>
          <w:szCs w:val="24"/>
        </w:rPr>
      </w:pPr>
      <w:bookmarkStart w:id="1" w:name="introduction-1"/>
      <w:r w:rsidRPr="00BE7479">
        <w:rPr>
          <w:rFonts w:cs="Times New Roman"/>
          <w:b/>
          <w:bCs/>
          <w:color w:val="auto"/>
          <w:sz w:val="24"/>
          <w:szCs w:val="24"/>
        </w:rPr>
        <w:t>Introduction</w:t>
      </w:r>
    </w:p>
    <w:p w:rsidR="004223FD" w:rsidRPr="004223FD" w:rsidRDefault="002032BC" w:rsidP="006F0C0D">
      <w:pPr>
        <w:pStyle w:val="FirstParagraph"/>
        <w:spacing w:line="360" w:lineRule="auto"/>
        <w:jc w:val="both"/>
      </w:pPr>
      <w:r w:rsidRPr="00BE7479">
        <w:rPr>
          <w:rFonts w:cs="Times New Roman"/>
        </w:rPr>
        <w:t xml:space="preserve">Debentures are fixed-income securities that offer periodic interest payments, called the coupon rate, based on their face value. However, the return an investor actually earns depends on the market price at which the debenture is purchased. This return is known as the </w:t>
      </w:r>
      <w:r w:rsidRPr="00BE7479">
        <w:rPr>
          <w:rFonts w:cs="Times New Roman"/>
          <w:b/>
          <w:bCs/>
        </w:rPr>
        <w:t>Current Yield</w:t>
      </w:r>
      <w:r w:rsidRPr="00BE7479">
        <w:rPr>
          <w:rFonts w:cs="Times New Roman"/>
        </w:rPr>
        <w:t xml:space="preserve">, which is the effective yield an investor earns relative to the market price. By calculating the current yield for Monica's debenture under different market price scenarios, we can analyze the </w:t>
      </w:r>
      <w:bookmarkStart w:id="2" w:name="_GoBack"/>
      <w:bookmarkEnd w:id="1"/>
      <w:bookmarkEnd w:id="2"/>
    </w:p>
    <w:p w:rsidR="00D521CB" w:rsidRPr="004223FD" w:rsidRDefault="00D521CB" w:rsidP="004223FD">
      <w:pPr>
        <w:spacing w:line="360" w:lineRule="auto"/>
        <w:jc w:val="both"/>
        <w:rPr>
          <w:rFonts w:ascii="Times New Roman" w:hAnsi="Times New Roman"/>
          <w:sz w:val="24"/>
          <w:szCs w:val="24"/>
        </w:rPr>
      </w:pPr>
    </w:p>
    <w:sectPr w:rsidR="00D521CB" w:rsidRPr="004223FD">
      <w:headerReference w:type="default" r:id="rId9"/>
      <w:footerReference w:type="default" r:id="rId10"/>
      <w:pgSz w:w="11920" w:h="16840"/>
      <w:pgMar w:top="1900" w:right="1460" w:bottom="280" w:left="1340" w:header="720" w:footer="10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FFB" w:rsidRDefault="000F3FFB">
      <w:pPr>
        <w:spacing w:after="0" w:line="240" w:lineRule="auto"/>
      </w:pPr>
      <w:r>
        <w:separator/>
      </w:r>
    </w:p>
  </w:endnote>
  <w:endnote w:type="continuationSeparator" w:id="0">
    <w:p w:rsidR="000F3FFB" w:rsidRDefault="000F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Calibri"/>
    <w:charset w:val="00"/>
    <w:family w:val="swiss"/>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F6" w:rsidRDefault="004223F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3637280</wp:posOffset>
              </wp:positionH>
              <wp:positionV relativeFrom="page">
                <wp:posOffset>9909810</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8F6" w:rsidRDefault="002032BC">
                          <w:pPr>
                            <w:widowControl w:val="0"/>
                            <w:autoSpaceDE w:val="0"/>
                            <w:autoSpaceDN w:val="0"/>
                            <w:adjustRightInd w:val="0"/>
                            <w:spacing w:after="0" w:line="241"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Pr>
                              <w:rFonts w:cs="Calibri"/>
                              <w:noProof/>
                              <w:position w:val="1"/>
                            </w:rPr>
                            <w:t>1</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6.4pt;margin-top:780.3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" o:allowincell="f" filled="f" stroked="f">
              <v:textbox inset="0,0,0,0">
                <w:txbxContent>
                  <w:p w:rsidR="003068F6" w:rsidRDefault="002032BC">
                    <w:pPr>
                      <w:widowControl w:val="0"/>
                      <w:autoSpaceDE w:val="0"/>
                      <w:autoSpaceDN w:val="0"/>
                      <w:adjustRightInd w:val="0"/>
                      <w:spacing w:after="0" w:line="241"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Pr>
                        <w:rFonts w:cs="Calibri"/>
                        <w:noProof/>
                        <w:position w:val="1"/>
                      </w:rPr>
                      <w:t>1</w:t>
                    </w:r>
                    <w:r>
                      <w:rPr>
                        <w:rFonts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FFB" w:rsidRDefault="000F3FFB">
      <w:pPr>
        <w:spacing w:after="0" w:line="240" w:lineRule="auto"/>
      </w:pPr>
      <w:r>
        <w:separator/>
      </w:r>
    </w:p>
  </w:footnote>
  <w:footnote w:type="continuationSeparator" w:id="0">
    <w:p w:rsidR="000F3FFB" w:rsidRDefault="000F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F6" w:rsidRDefault="004223F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2644775</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8F6" w:rsidRDefault="000F3FFB">
                          <w:pPr>
                            <w:spacing w:after="0" w:line="1180" w:lineRule="atLeast"/>
                            <w:rPr>
                              <w:rFonts w:ascii="Times New Roman" w:hAnsi="Times New Roman"/>
                              <w:sz w:val="24"/>
                              <w:szCs w:val="24"/>
                            </w:rPr>
                          </w:pPr>
                        </w:p>
                        <w:p w:rsidR="003068F6" w:rsidRDefault="000F3FF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8.25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" o:allowincell="f" filled="f" stroked="f">
              <v:textbox inset="0,0,0,0">
                <w:txbxContent>
                  <w:p w:rsidR="003068F6" w:rsidRDefault="002032BC">
                    <w:pPr>
                      <w:spacing w:after="0" w:line="1180" w:lineRule="atLeast"/>
                      <w:rPr>
                        <w:rFonts w:ascii="Times New Roman" w:hAnsi="Times New Roman"/>
                        <w:sz w:val="24"/>
                        <w:szCs w:val="24"/>
                      </w:rPr>
                    </w:pPr>
                  </w:p>
                  <w:p w:rsidR="003068F6" w:rsidRDefault="002032B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3DCAFC52"/>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A1F4A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9A3CC2"/>
    <w:multiLevelType w:val="multilevel"/>
    <w:tmpl w:val="A1F4A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FD1034D"/>
    <w:multiLevelType w:val="multilevel"/>
    <w:tmpl w:val="A1F4A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9AA45EB"/>
    <w:multiLevelType w:val="multilevel"/>
    <w:tmpl w:val="0A62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C4DF0"/>
    <w:multiLevelType w:val="hybridMultilevel"/>
    <w:tmpl w:val="72C80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EE49E8"/>
    <w:multiLevelType w:val="hybridMultilevel"/>
    <w:tmpl w:val="0C149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6F3DE7"/>
    <w:multiLevelType w:val="multilevel"/>
    <w:tmpl w:val="2742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07834"/>
    <w:multiLevelType w:val="multilevel"/>
    <w:tmpl w:val="594E5A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7D2327"/>
    <w:multiLevelType w:val="multilevel"/>
    <w:tmpl w:val="85C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6"/>
  </w:num>
  <w:num w:numId="8">
    <w:abstractNumId w:val="5"/>
  </w:num>
  <w:num w:numId="9">
    <w:abstractNumId w:val="4"/>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FD"/>
    <w:rsid w:val="000F3FFB"/>
    <w:rsid w:val="002032BC"/>
    <w:rsid w:val="002A706E"/>
    <w:rsid w:val="0037647A"/>
    <w:rsid w:val="004223FD"/>
    <w:rsid w:val="004405C7"/>
    <w:rsid w:val="00540C60"/>
    <w:rsid w:val="006F0C0D"/>
    <w:rsid w:val="007268E0"/>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DF36D0-1A2F-45FC-A94B-89E17A01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3FD"/>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unhideWhenUsed/>
    <w:qFormat/>
    <w:rsid w:val="004223FD"/>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4223FD"/>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3FD"/>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4223FD"/>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4223F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4223FD"/>
    <w:rPr>
      <w:rFonts w:ascii="Times New Roman" w:hAnsi="Times New Roman"/>
      <w:sz w:val="24"/>
      <w:szCs w:val="24"/>
      <w:lang w:val="en-US"/>
    </w:rPr>
  </w:style>
  <w:style w:type="paragraph" w:customStyle="1" w:styleId="FirstParagraph">
    <w:name w:val="First Paragraph"/>
    <w:basedOn w:val="BodyText"/>
    <w:next w:val="BodyText"/>
    <w:qFormat/>
    <w:rsid w:val="004223FD"/>
  </w:style>
  <w:style w:type="paragraph" w:customStyle="1" w:styleId="Compact">
    <w:name w:val="Compact"/>
    <w:basedOn w:val="BodyText"/>
    <w:qFormat/>
    <w:rsid w:val="004223FD"/>
    <w:pPr>
      <w:spacing w:before="36" w:after="36"/>
    </w:pPr>
  </w:style>
  <w:style w:type="table" w:customStyle="1" w:styleId="Table">
    <w:name w:val="Table"/>
    <w:semiHidden/>
    <w:unhideWhenUsed/>
    <w:qFormat/>
    <w:rsid w:val="004223FD"/>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unhideWhenUsed/>
    <w:rsid w:val="006F0C0D"/>
    <w:rPr>
      <w:rFonts w:ascii="Times New Roman" w:hAnsi="Times New Roman" w:cs="Times New Roman"/>
      <w:color w:val="0000FF"/>
      <w:u w:val="single"/>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547">
      <w:bodyDiv w:val="1"/>
      <w:marLeft w:val="0"/>
      <w:marRight w:val="0"/>
      <w:marTop w:val="0"/>
      <w:marBottom w:val="0"/>
      <w:divBdr>
        <w:top w:val="none" w:sz="0" w:space="0" w:color="auto"/>
        <w:left w:val="none" w:sz="0" w:space="0" w:color="auto"/>
        <w:bottom w:val="none" w:sz="0" w:space="0" w:color="auto"/>
        <w:right w:val="none" w:sz="0" w:space="0" w:color="auto"/>
      </w:divBdr>
    </w:div>
    <w:div w:id="759639642">
      <w:bodyDiv w:val="1"/>
      <w:marLeft w:val="0"/>
      <w:marRight w:val="0"/>
      <w:marTop w:val="0"/>
      <w:marBottom w:val="0"/>
      <w:divBdr>
        <w:top w:val="none" w:sz="0" w:space="0" w:color="auto"/>
        <w:left w:val="none" w:sz="0" w:space="0" w:color="auto"/>
        <w:bottom w:val="none" w:sz="0" w:space="0" w:color="auto"/>
        <w:right w:val="none" w:sz="0" w:space="0" w:color="auto"/>
      </w:divBdr>
      <w:divsChild>
        <w:div w:id="37781414">
          <w:marLeft w:val="0"/>
          <w:marRight w:val="0"/>
          <w:marTop w:val="0"/>
          <w:marBottom w:val="0"/>
          <w:divBdr>
            <w:top w:val="none" w:sz="0" w:space="0" w:color="auto"/>
            <w:left w:val="none" w:sz="0" w:space="0" w:color="auto"/>
            <w:bottom w:val="none" w:sz="0" w:space="0" w:color="auto"/>
            <w:right w:val="none" w:sz="0" w:space="0" w:color="auto"/>
          </w:divBdr>
          <w:divsChild>
            <w:div w:id="381710174">
              <w:marLeft w:val="0"/>
              <w:marRight w:val="0"/>
              <w:marTop w:val="0"/>
              <w:marBottom w:val="0"/>
              <w:divBdr>
                <w:top w:val="none" w:sz="0" w:space="0" w:color="auto"/>
                <w:left w:val="none" w:sz="0" w:space="0" w:color="auto"/>
                <w:bottom w:val="none" w:sz="0" w:space="0" w:color="auto"/>
                <w:right w:val="none" w:sz="0" w:space="0" w:color="auto"/>
              </w:divBdr>
              <w:divsChild>
                <w:div w:id="1216162643">
                  <w:marLeft w:val="0"/>
                  <w:marRight w:val="0"/>
                  <w:marTop w:val="0"/>
                  <w:marBottom w:val="0"/>
                  <w:divBdr>
                    <w:top w:val="none" w:sz="0" w:space="0" w:color="auto"/>
                    <w:left w:val="none" w:sz="0" w:space="0" w:color="auto"/>
                    <w:bottom w:val="none" w:sz="0" w:space="0" w:color="auto"/>
                    <w:right w:val="none" w:sz="0" w:space="0" w:color="auto"/>
                  </w:divBdr>
                  <w:divsChild>
                    <w:div w:id="138310052">
                      <w:marLeft w:val="0"/>
                      <w:marRight w:val="0"/>
                      <w:marTop w:val="0"/>
                      <w:marBottom w:val="0"/>
                      <w:divBdr>
                        <w:top w:val="none" w:sz="0" w:space="0" w:color="auto"/>
                        <w:left w:val="none" w:sz="0" w:space="0" w:color="auto"/>
                        <w:bottom w:val="none" w:sz="0" w:space="0" w:color="auto"/>
                        <w:right w:val="none" w:sz="0" w:space="0" w:color="auto"/>
                      </w:divBdr>
                      <w:divsChild>
                        <w:div w:id="1823767167">
                          <w:marLeft w:val="0"/>
                          <w:marRight w:val="0"/>
                          <w:marTop w:val="0"/>
                          <w:marBottom w:val="0"/>
                          <w:divBdr>
                            <w:top w:val="none" w:sz="0" w:space="0" w:color="auto"/>
                            <w:left w:val="none" w:sz="0" w:space="0" w:color="auto"/>
                            <w:bottom w:val="none" w:sz="0" w:space="0" w:color="auto"/>
                            <w:right w:val="none" w:sz="0" w:space="0" w:color="auto"/>
                          </w:divBdr>
                          <w:divsChild>
                            <w:div w:id="1158157449">
                              <w:marLeft w:val="0"/>
                              <w:marRight w:val="0"/>
                              <w:marTop w:val="0"/>
                              <w:marBottom w:val="0"/>
                              <w:divBdr>
                                <w:top w:val="none" w:sz="0" w:space="0" w:color="auto"/>
                                <w:left w:val="none" w:sz="0" w:space="0" w:color="auto"/>
                                <w:bottom w:val="none" w:sz="0" w:space="0" w:color="auto"/>
                                <w:right w:val="none" w:sz="0" w:space="0" w:color="auto"/>
                              </w:divBdr>
                              <w:divsChild>
                                <w:div w:id="521629605">
                                  <w:marLeft w:val="0"/>
                                  <w:marRight w:val="0"/>
                                  <w:marTop w:val="0"/>
                                  <w:marBottom w:val="0"/>
                                  <w:divBdr>
                                    <w:top w:val="none" w:sz="0" w:space="0" w:color="auto"/>
                                    <w:left w:val="none" w:sz="0" w:space="0" w:color="auto"/>
                                    <w:bottom w:val="none" w:sz="0" w:space="0" w:color="auto"/>
                                    <w:right w:val="none" w:sz="0" w:space="0" w:color="auto"/>
                                  </w:divBdr>
                                  <w:divsChild>
                                    <w:div w:id="1614553541">
                                      <w:marLeft w:val="0"/>
                                      <w:marRight w:val="0"/>
                                      <w:marTop w:val="0"/>
                                      <w:marBottom w:val="0"/>
                                      <w:divBdr>
                                        <w:top w:val="none" w:sz="0" w:space="0" w:color="auto"/>
                                        <w:left w:val="none" w:sz="0" w:space="0" w:color="auto"/>
                                        <w:bottom w:val="none" w:sz="0" w:space="0" w:color="auto"/>
                                        <w:right w:val="none" w:sz="0" w:space="0" w:color="auto"/>
                                      </w:divBdr>
                                      <w:divsChild>
                                        <w:div w:id="642122111">
                                          <w:marLeft w:val="0"/>
                                          <w:marRight w:val="0"/>
                                          <w:marTop w:val="0"/>
                                          <w:marBottom w:val="0"/>
                                          <w:divBdr>
                                            <w:top w:val="none" w:sz="0" w:space="0" w:color="auto"/>
                                            <w:left w:val="none" w:sz="0" w:space="0" w:color="auto"/>
                                            <w:bottom w:val="none" w:sz="0" w:space="0" w:color="auto"/>
                                            <w:right w:val="none" w:sz="0" w:space="0" w:color="auto"/>
                                          </w:divBdr>
                                          <w:divsChild>
                                            <w:div w:id="589778300">
                                              <w:marLeft w:val="0"/>
                                              <w:marRight w:val="0"/>
                                              <w:marTop w:val="0"/>
                                              <w:marBottom w:val="0"/>
                                              <w:divBdr>
                                                <w:top w:val="none" w:sz="0" w:space="0" w:color="auto"/>
                                                <w:left w:val="none" w:sz="0" w:space="0" w:color="auto"/>
                                                <w:bottom w:val="none" w:sz="0" w:space="0" w:color="auto"/>
                                                <w:right w:val="none" w:sz="0" w:space="0" w:color="auto"/>
                                              </w:divBdr>
                                              <w:divsChild>
                                                <w:div w:id="1515071982">
                                                  <w:marLeft w:val="0"/>
                                                  <w:marRight w:val="0"/>
                                                  <w:marTop w:val="0"/>
                                                  <w:marBottom w:val="0"/>
                                                  <w:divBdr>
                                                    <w:top w:val="none" w:sz="0" w:space="0" w:color="auto"/>
                                                    <w:left w:val="none" w:sz="0" w:space="0" w:color="auto"/>
                                                    <w:bottom w:val="none" w:sz="0" w:space="0" w:color="auto"/>
                                                    <w:right w:val="none" w:sz="0" w:space="0" w:color="auto"/>
                                                  </w:divBdr>
                                                  <w:divsChild>
                                                    <w:div w:id="244993178">
                                                      <w:marLeft w:val="0"/>
                                                      <w:marRight w:val="0"/>
                                                      <w:marTop w:val="0"/>
                                                      <w:marBottom w:val="0"/>
                                                      <w:divBdr>
                                                        <w:top w:val="none" w:sz="0" w:space="0" w:color="auto"/>
                                                        <w:left w:val="none" w:sz="0" w:space="0" w:color="auto"/>
                                                        <w:bottom w:val="none" w:sz="0" w:space="0" w:color="auto"/>
                                                        <w:right w:val="none" w:sz="0" w:space="0" w:color="auto"/>
                                                      </w:divBdr>
                                                      <w:divsChild>
                                                        <w:div w:id="1679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690302">
      <w:bodyDiv w:val="1"/>
      <w:marLeft w:val="0"/>
      <w:marRight w:val="0"/>
      <w:marTop w:val="0"/>
      <w:marBottom w:val="0"/>
      <w:divBdr>
        <w:top w:val="none" w:sz="0" w:space="0" w:color="auto"/>
        <w:left w:val="none" w:sz="0" w:space="0" w:color="auto"/>
        <w:bottom w:val="none" w:sz="0" w:space="0" w:color="auto"/>
        <w:right w:val="none" w:sz="0" w:space="0" w:color="auto"/>
      </w:divBdr>
    </w:div>
    <w:div w:id="1900556709">
      <w:bodyDiv w:val="1"/>
      <w:marLeft w:val="0"/>
      <w:marRight w:val="0"/>
      <w:marTop w:val="0"/>
      <w:marBottom w:val="0"/>
      <w:divBdr>
        <w:top w:val="none" w:sz="0" w:space="0" w:color="auto"/>
        <w:left w:val="none" w:sz="0" w:space="0" w:color="auto"/>
        <w:bottom w:val="none" w:sz="0" w:space="0" w:color="auto"/>
        <w:right w:val="none" w:sz="0" w:space="0" w:color="auto"/>
      </w:divBdr>
      <w:divsChild>
        <w:div w:id="175579355">
          <w:marLeft w:val="0"/>
          <w:marRight w:val="0"/>
          <w:marTop w:val="0"/>
          <w:marBottom w:val="0"/>
          <w:divBdr>
            <w:top w:val="none" w:sz="0" w:space="0" w:color="auto"/>
            <w:left w:val="none" w:sz="0" w:space="0" w:color="auto"/>
            <w:bottom w:val="none" w:sz="0" w:space="0" w:color="auto"/>
            <w:right w:val="none" w:sz="0" w:space="0" w:color="auto"/>
          </w:divBdr>
          <w:divsChild>
            <w:div w:id="1236012917">
              <w:marLeft w:val="0"/>
              <w:marRight w:val="0"/>
              <w:marTop w:val="0"/>
              <w:marBottom w:val="0"/>
              <w:divBdr>
                <w:top w:val="none" w:sz="0" w:space="0" w:color="auto"/>
                <w:left w:val="none" w:sz="0" w:space="0" w:color="auto"/>
                <w:bottom w:val="none" w:sz="0" w:space="0" w:color="auto"/>
                <w:right w:val="none" w:sz="0" w:space="0" w:color="auto"/>
              </w:divBdr>
              <w:divsChild>
                <w:div w:id="645016517">
                  <w:marLeft w:val="0"/>
                  <w:marRight w:val="0"/>
                  <w:marTop w:val="0"/>
                  <w:marBottom w:val="0"/>
                  <w:divBdr>
                    <w:top w:val="none" w:sz="0" w:space="0" w:color="auto"/>
                    <w:left w:val="none" w:sz="0" w:space="0" w:color="auto"/>
                    <w:bottom w:val="none" w:sz="0" w:space="0" w:color="auto"/>
                    <w:right w:val="none" w:sz="0" w:space="0" w:color="auto"/>
                  </w:divBdr>
                  <w:divsChild>
                    <w:div w:id="309099052">
                      <w:marLeft w:val="0"/>
                      <w:marRight w:val="0"/>
                      <w:marTop w:val="0"/>
                      <w:marBottom w:val="0"/>
                      <w:divBdr>
                        <w:top w:val="none" w:sz="0" w:space="0" w:color="auto"/>
                        <w:left w:val="none" w:sz="0" w:space="0" w:color="auto"/>
                        <w:bottom w:val="none" w:sz="0" w:space="0" w:color="auto"/>
                        <w:right w:val="none" w:sz="0" w:space="0" w:color="auto"/>
                      </w:divBdr>
                      <w:divsChild>
                        <w:div w:id="1348824309">
                          <w:marLeft w:val="0"/>
                          <w:marRight w:val="0"/>
                          <w:marTop w:val="0"/>
                          <w:marBottom w:val="0"/>
                          <w:divBdr>
                            <w:top w:val="none" w:sz="0" w:space="0" w:color="auto"/>
                            <w:left w:val="none" w:sz="0" w:space="0" w:color="auto"/>
                            <w:bottom w:val="none" w:sz="0" w:space="0" w:color="auto"/>
                            <w:right w:val="none" w:sz="0" w:space="0" w:color="auto"/>
                          </w:divBdr>
                          <w:divsChild>
                            <w:div w:id="1750926825">
                              <w:marLeft w:val="0"/>
                              <w:marRight w:val="0"/>
                              <w:marTop w:val="0"/>
                              <w:marBottom w:val="0"/>
                              <w:divBdr>
                                <w:top w:val="none" w:sz="0" w:space="0" w:color="auto"/>
                                <w:left w:val="none" w:sz="0" w:space="0" w:color="auto"/>
                                <w:bottom w:val="none" w:sz="0" w:space="0" w:color="auto"/>
                                <w:right w:val="none" w:sz="0" w:space="0" w:color="auto"/>
                              </w:divBdr>
                              <w:divsChild>
                                <w:div w:id="1199898697">
                                  <w:marLeft w:val="0"/>
                                  <w:marRight w:val="0"/>
                                  <w:marTop w:val="0"/>
                                  <w:marBottom w:val="0"/>
                                  <w:divBdr>
                                    <w:top w:val="none" w:sz="0" w:space="0" w:color="auto"/>
                                    <w:left w:val="none" w:sz="0" w:space="0" w:color="auto"/>
                                    <w:bottom w:val="none" w:sz="0" w:space="0" w:color="auto"/>
                                    <w:right w:val="none" w:sz="0" w:space="0" w:color="auto"/>
                                  </w:divBdr>
                                  <w:divsChild>
                                    <w:div w:id="924069596">
                                      <w:marLeft w:val="0"/>
                                      <w:marRight w:val="0"/>
                                      <w:marTop w:val="0"/>
                                      <w:marBottom w:val="0"/>
                                      <w:divBdr>
                                        <w:top w:val="none" w:sz="0" w:space="0" w:color="auto"/>
                                        <w:left w:val="none" w:sz="0" w:space="0" w:color="auto"/>
                                        <w:bottom w:val="none" w:sz="0" w:space="0" w:color="auto"/>
                                        <w:right w:val="none" w:sz="0" w:space="0" w:color="auto"/>
                                      </w:divBdr>
                                      <w:divsChild>
                                        <w:div w:id="741755317">
                                          <w:marLeft w:val="0"/>
                                          <w:marRight w:val="0"/>
                                          <w:marTop w:val="0"/>
                                          <w:marBottom w:val="0"/>
                                          <w:divBdr>
                                            <w:top w:val="none" w:sz="0" w:space="0" w:color="auto"/>
                                            <w:left w:val="none" w:sz="0" w:space="0" w:color="auto"/>
                                            <w:bottom w:val="none" w:sz="0" w:space="0" w:color="auto"/>
                                            <w:right w:val="none" w:sz="0" w:space="0" w:color="auto"/>
                                          </w:divBdr>
                                          <w:divsChild>
                                            <w:div w:id="560099937">
                                              <w:marLeft w:val="0"/>
                                              <w:marRight w:val="0"/>
                                              <w:marTop w:val="0"/>
                                              <w:marBottom w:val="0"/>
                                              <w:divBdr>
                                                <w:top w:val="none" w:sz="0" w:space="0" w:color="auto"/>
                                                <w:left w:val="none" w:sz="0" w:space="0" w:color="auto"/>
                                                <w:bottom w:val="none" w:sz="0" w:space="0" w:color="auto"/>
                                                <w:right w:val="none" w:sz="0" w:space="0" w:color="auto"/>
                                              </w:divBdr>
                                              <w:divsChild>
                                                <w:div w:id="2117678515">
                                                  <w:marLeft w:val="0"/>
                                                  <w:marRight w:val="0"/>
                                                  <w:marTop w:val="0"/>
                                                  <w:marBottom w:val="0"/>
                                                  <w:divBdr>
                                                    <w:top w:val="none" w:sz="0" w:space="0" w:color="auto"/>
                                                    <w:left w:val="none" w:sz="0" w:space="0" w:color="auto"/>
                                                    <w:bottom w:val="none" w:sz="0" w:space="0" w:color="auto"/>
                                                    <w:right w:val="none" w:sz="0" w:space="0" w:color="auto"/>
                                                  </w:divBdr>
                                                  <w:divsChild>
                                                    <w:div w:id="1692876687">
                                                      <w:marLeft w:val="0"/>
                                                      <w:marRight w:val="0"/>
                                                      <w:marTop w:val="0"/>
                                                      <w:marBottom w:val="0"/>
                                                      <w:divBdr>
                                                        <w:top w:val="none" w:sz="0" w:space="0" w:color="auto"/>
                                                        <w:left w:val="none" w:sz="0" w:space="0" w:color="auto"/>
                                                        <w:bottom w:val="none" w:sz="0" w:space="0" w:color="auto"/>
                                                        <w:right w:val="none" w:sz="0" w:space="0" w:color="auto"/>
                                                      </w:divBdr>
                                                      <w:divsChild>
                                                        <w:div w:id="10453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com"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1020</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Ans 1.</vt:lpstr>
      <vt:lpstr>        Introduction</vt:lpstr>
      <vt:lpstr>        Concepts and Calculations</vt:lpstr>
      <vt:lpstr>        Conclusion</vt:lpstr>
      <vt:lpstr>        Ans 2.</vt:lpstr>
      <vt:lpstr>        Introduction</vt:lpstr>
      <vt:lpstr>        Concepts and Calculations</vt:lpstr>
      <vt:lpstr>        Comparison and Recommendation</vt:lpstr>
      <vt:lpstr>        Conclusion</vt:lpstr>
      <vt:lpstr>        Ans 3a.</vt:lpstr>
      <vt:lpstr>        Introduction</vt:lpstr>
      <vt:lpstr>        Concepts and Calculations</vt:lpstr>
      <vt:lpstr>        Conclusion</vt:lpstr>
      <vt:lpstr>        Introduction</vt:lpstr>
      <vt:lpstr>        Concepts and Calculations</vt:lpstr>
      <vt:lpstr>        Conclusion</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2025-01-17T13:50:00Z</dcterms:created>
  <dcterms:modified xsi:type="dcterms:W3CDTF">2025-01-17T14:19:00Z</dcterms:modified>
</cp:coreProperties>
</file>