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3369"/>
        <w:gridCol w:w="6207"/>
      </w:tblGrid>
      <w:tr w:rsidR="006F38B5" w:rsidRPr="006F38B5" w:rsidTr="006F38B5">
        <w:tc>
          <w:tcPr>
            <w:tcW w:w="1759" w:type="pct"/>
          </w:tcPr>
          <w:p w:rsidR="006F38B5" w:rsidRPr="006F38B5" w:rsidRDefault="006F38B5" w:rsidP="006F38B5">
            <w:pPr>
              <w:pStyle w:val="Heading3"/>
              <w:spacing w:line="276" w:lineRule="auto"/>
              <w:jc w:val="both"/>
              <w:outlineLvl w:val="2"/>
              <w:rPr>
                <w:rFonts w:cs="Times New Roman"/>
                <w:b/>
                <w:color w:val="auto"/>
                <w:sz w:val="24"/>
                <w:szCs w:val="24"/>
              </w:rPr>
            </w:pPr>
            <w:bookmarkStart w:id="0" w:name="X3ca43410111c11b9a1fc244f2b0a3f421b0ae67"/>
            <w:r w:rsidRPr="006F38B5">
              <w:rPr>
                <w:rFonts w:cs="Times New Roman"/>
                <w:b/>
                <w:color w:val="auto"/>
                <w:sz w:val="24"/>
                <w:szCs w:val="24"/>
              </w:rPr>
              <w:t xml:space="preserve">SESSION </w:t>
            </w:r>
          </w:p>
        </w:tc>
        <w:tc>
          <w:tcPr>
            <w:tcW w:w="3241" w:type="pct"/>
          </w:tcPr>
          <w:p w:rsidR="006F38B5" w:rsidRPr="006F38B5" w:rsidRDefault="006F38B5" w:rsidP="006F38B5">
            <w:pPr>
              <w:pStyle w:val="Heading3"/>
              <w:spacing w:line="276" w:lineRule="auto"/>
              <w:jc w:val="both"/>
              <w:outlineLvl w:val="2"/>
              <w:rPr>
                <w:rFonts w:cs="Times New Roman"/>
                <w:b/>
                <w:color w:val="auto"/>
                <w:sz w:val="24"/>
                <w:szCs w:val="24"/>
              </w:rPr>
            </w:pPr>
            <w:r w:rsidRPr="006F38B5">
              <w:rPr>
                <w:rFonts w:cs="Times New Roman"/>
                <w:b/>
                <w:color w:val="auto"/>
                <w:sz w:val="24"/>
                <w:szCs w:val="24"/>
              </w:rPr>
              <w:t>JUL - AUG 2024</w:t>
            </w:r>
          </w:p>
        </w:tc>
      </w:tr>
      <w:tr w:rsidR="006F38B5" w:rsidRPr="006F38B5" w:rsidTr="006F38B5">
        <w:tc>
          <w:tcPr>
            <w:tcW w:w="1759" w:type="pct"/>
          </w:tcPr>
          <w:p w:rsidR="006F38B5" w:rsidRPr="006F38B5" w:rsidRDefault="006F38B5" w:rsidP="006F38B5">
            <w:pPr>
              <w:pStyle w:val="Heading3"/>
              <w:spacing w:line="276" w:lineRule="auto"/>
              <w:jc w:val="both"/>
              <w:outlineLvl w:val="2"/>
              <w:rPr>
                <w:rFonts w:cs="Times New Roman"/>
                <w:b/>
                <w:color w:val="auto"/>
                <w:sz w:val="24"/>
                <w:szCs w:val="24"/>
              </w:rPr>
            </w:pPr>
            <w:r w:rsidRPr="006F38B5">
              <w:rPr>
                <w:rFonts w:cs="Times New Roman"/>
                <w:b/>
                <w:color w:val="auto"/>
                <w:sz w:val="24"/>
                <w:szCs w:val="24"/>
              </w:rPr>
              <w:t xml:space="preserve">PROGRAM </w:t>
            </w:r>
          </w:p>
        </w:tc>
        <w:tc>
          <w:tcPr>
            <w:tcW w:w="3241" w:type="pct"/>
          </w:tcPr>
          <w:p w:rsidR="006F38B5" w:rsidRPr="006F38B5" w:rsidRDefault="006F38B5" w:rsidP="006F38B5">
            <w:pPr>
              <w:pStyle w:val="Heading3"/>
              <w:spacing w:line="276" w:lineRule="auto"/>
              <w:jc w:val="both"/>
              <w:outlineLvl w:val="2"/>
              <w:rPr>
                <w:rFonts w:cs="Times New Roman"/>
                <w:b/>
                <w:color w:val="auto"/>
                <w:sz w:val="24"/>
                <w:szCs w:val="24"/>
              </w:rPr>
            </w:pPr>
            <w:r w:rsidRPr="006F38B5">
              <w:rPr>
                <w:rFonts w:cs="Times New Roman"/>
                <w:b/>
                <w:color w:val="auto"/>
                <w:sz w:val="24"/>
                <w:szCs w:val="24"/>
              </w:rPr>
              <w:t>MASTER OF BUSINESS ADMINISTRATION (MBA)</w:t>
            </w:r>
          </w:p>
        </w:tc>
      </w:tr>
      <w:tr w:rsidR="006F38B5" w:rsidRPr="006F38B5" w:rsidTr="006F38B5">
        <w:tc>
          <w:tcPr>
            <w:tcW w:w="1759" w:type="pct"/>
          </w:tcPr>
          <w:p w:rsidR="006F38B5" w:rsidRPr="006F38B5" w:rsidRDefault="006F38B5" w:rsidP="006F38B5">
            <w:pPr>
              <w:pStyle w:val="Heading3"/>
              <w:spacing w:line="276" w:lineRule="auto"/>
              <w:jc w:val="both"/>
              <w:outlineLvl w:val="2"/>
              <w:rPr>
                <w:rFonts w:cs="Times New Roman"/>
                <w:b/>
                <w:color w:val="auto"/>
                <w:sz w:val="24"/>
                <w:szCs w:val="24"/>
              </w:rPr>
            </w:pPr>
            <w:r w:rsidRPr="006F38B5">
              <w:rPr>
                <w:rFonts w:cs="Times New Roman"/>
                <w:b/>
                <w:color w:val="auto"/>
                <w:sz w:val="24"/>
                <w:szCs w:val="24"/>
              </w:rPr>
              <w:t>SEMESTER</w:t>
            </w:r>
          </w:p>
        </w:tc>
        <w:tc>
          <w:tcPr>
            <w:tcW w:w="3241" w:type="pct"/>
          </w:tcPr>
          <w:p w:rsidR="006F38B5" w:rsidRPr="006F38B5" w:rsidRDefault="006F38B5" w:rsidP="006F38B5">
            <w:pPr>
              <w:pStyle w:val="Heading3"/>
              <w:spacing w:line="276" w:lineRule="auto"/>
              <w:jc w:val="both"/>
              <w:outlineLvl w:val="2"/>
              <w:rPr>
                <w:rFonts w:cs="Times New Roman"/>
                <w:b/>
                <w:color w:val="auto"/>
                <w:sz w:val="24"/>
                <w:szCs w:val="24"/>
              </w:rPr>
            </w:pPr>
            <w:r w:rsidRPr="006F38B5">
              <w:rPr>
                <w:rFonts w:cs="Times New Roman"/>
                <w:b/>
                <w:color w:val="auto"/>
                <w:sz w:val="24"/>
                <w:szCs w:val="24"/>
              </w:rPr>
              <w:t>III</w:t>
            </w:r>
          </w:p>
        </w:tc>
      </w:tr>
      <w:tr w:rsidR="006F38B5" w:rsidRPr="006F38B5" w:rsidTr="006F38B5">
        <w:tc>
          <w:tcPr>
            <w:tcW w:w="1759" w:type="pct"/>
          </w:tcPr>
          <w:p w:rsidR="006F38B5" w:rsidRPr="006F38B5" w:rsidRDefault="006F38B5" w:rsidP="006F38B5">
            <w:pPr>
              <w:pStyle w:val="Heading3"/>
              <w:spacing w:line="276" w:lineRule="auto"/>
              <w:jc w:val="both"/>
              <w:outlineLvl w:val="2"/>
              <w:rPr>
                <w:rFonts w:cs="Times New Roman"/>
                <w:b/>
                <w:color w:val="auto"/>
                <w:sz w:val="24"/>
                <w:szCs w:val="24"/>
              </w:rPr>
            </w:pPr>
            <w:r w:rsidRPr="006F38B5">
              <w:rPr>
                <w:rFonts w:cs="Times New Roman"/>
                <w:b/>
                <w:color w:val="auto"/>
                <w:sz w:val="24"/>
                <w:szCs w:val="24"/>
              </w:rPr>
              <w:t xml:space="preserve">COURSE CODE &amp; NAME </w:t>
            </w:r>
          </w:p>
        </w:tc>
        <w:tc>
          <w:tcPr>
            <w:tcW w:w="3241" w:type="pct"/>
          </w:tcPr>
          <w:p w:rsidR="006F38B5" w:rsidRPr="006F38B5" w:rsidRDefault="00834AD9" w:rsidP="006F38B5">
            <w:pPr>
              <w:pStyle w:val="Heading3"/>
              <w:spacing w:line="276" w:lineRule="auto"/>
              <w:jc w:val="both"/>
              <w:outlineLvl w:val="2"/>
              <w:rPr>
                <w:rFonts w:cs="Times New Roman"/>
                <w:b/>
                <w:color w:val="auto"/>
                <w:sz w:val="24"/>
                <w:szCs w:val="24"/>
              </w:rPr>
            </w:pPr>
            <w:r>
              <w:rPr>
                <w:rFonts w:cs="Times New Roman"/>
                <w:b/>
                <w:color w:val="auto"/>
                <w:sz w:val="24"/>
                <w:szCs w:val="24"/>
              </w:rPr>
              <w:t xml:space="preserve">DFIN301 </w:t>
            </w:r>
            <w:r w:rsidR="006F38B5" w:rsidRPr="006F38B5">
              <w:rPr>
                <w:rFonts w:cs="Times New Roman"/>
                <w:b/>
                <w:color w:val="auto"/>
                <w:sz w:val="24"/>
                <w:szCs w:val="24"/>
              </w:rPr>
              <w:t>SECURITY ANALYSIS AND PORTFOLIO MANAGEMENT</w:t>
            </w:r>
          </w:p>
        </w:tc>
      </w:tr>
      <w:tr w:rsidR="006F38B5" w:rsidRPr="006F38B5" w:rsidTr="006F38B5">
        <w:tc>
          <w:tcPr>
            <w:tcW w:w="1759" w:type="pct"/>
          </w:tcPr>
          <w:p w:rsidR="006F38B5" w:rsidRPr="006F38B5" w:rsidRDefault="006F38B5" w:rsidP="006F38B5">
            <w:pPr>
              <w:pStyle w:val="Heading3"/>
              <w:spacing w:line="276" w:lineRule="auto"/>
              <w:jc w:val="both"/>
              <w:outlineLvl w:val="2"/>
              <w:rPr>
                <w:rFonts w:cs="Times New Roman"/>
                <w:b/>
                <w:color w:val="auto"/>
                <w:sz w:val="24"/>
                <w:szCs w:val="24"/>
              </w:rPr>
            </w:pPr>
          </w:p>
        </w:tc>
        <w:tc>
          <w:tcPr>
            <w:tcW w:w="3241" w:type="pct"/>
          </w:tcPr>
          <w:p w:rsidR="006F38B5" w:rsidRPr="006F38B5" w:rsidRDefault="006F38B5" w:rsidP="006F38B5">
            <w:pPr>
              <w:pStyle w:val="Heading3"/>
              <w:spacing w:line="276" w:lineRule="auto"/>
              <w:jc w:val="both"/>
              <w:outlineLvl w:val="2"/>
              <w:rPr>
                <w:rFonts w:cs="Times New Roman"/>
                <w:b/>
                <w:color w:val="auto"/>
                <w:sz w:val="24"/>
                <w:szCs w:val="24"/>
              </w:rPr>
            </w:pPr>
          </w:p>
        </w:tc>
      </w:tr>
    </w:tbl>
    <w:p w:rsidR="006F38B5" w:rsidRDefault="006F38B5" w:rsidP="006F38B5">
      <w:pPr>
        <w:pStyle w:val="BodyText"/>
        <w:spacing w:line="276" w:lineRule="auto"/>
        <w:jc w:val="both"/>
      </w:pPr>
    </w:p>
    <w:p w:rsidR="006F38B5" w:rsidRPr="006F38B5" w:rsidRDefault="006F38B5" w:rsidP="006F38B5">
      <w:pPr>
        <w:pStyle w:val="BodyText"/>
        <w:spacing w:line="276" w:lineRule="auto"/>
        <w:jc w:val="both"/>
        <w:rPr>
          <w:b/>
        </w:rPr>
      </w:pPr>
    </w:p>
    <w:p w:rsidR="006F38B5" w:rsidRPr="006F38B5" w:rsidRDefault="006F38B5" w:rsidP="006F38B5">
      <w:pPr>
        <w:pStyle w:val="BodyText"/>
        <w:spacing w:line="276" w:lineRule="auto"/>
        <w:jc w:val="center"/>
        <w:rPr>
          <w:b/>
        </w:rPr>
      </w:pPr>
      <w:r w:rsidRPr="006F38B5">
        <w:rPr>
          <w:b/>
        </w:rPr>
        <w:t>Assignment Set – 1</w:t>
      </w:r>
    </w:p>
    <w:p w:rsidR="006F38B5" w:rsidRDefault="006F38B5" w:rsidP="006F38B5">
      <w:pPr>
        <w:pStyle w:val="BodyText"/>
        <w:spacing w:line="276" w:lineRule="auto"/>
        <w:jc w:val="both"/>
      </w:pPr>
    </w:p>
    <w:p w:rsidR="006F38B5" w:rsidRDefault="006F38B5" w:rsidP="006F38B5">
      <w:pPr>
        <w:pStyle w:val="BodyText"/>
        <w:spacing w:line="276" w:lineRule="auto"/>
        <w:jc w:val="both"/>
      </w:pPr>
    </w:p>
    <w:p w:rsidR="006F38B5" w:rsidRPr="006F38B5" w:rsidRDefault="006F38B5" w:rsidP="006F38B5">
      <w:pPr>
        <w:pStyle w:val="BodyText"/>
        <w:spacing w:line="276" w:lineRule="auto"/>
        <w:jc w:val="both"/>
      </w:pPr>
    </w:p>
    <w:p w:rsidR="006F38B5" w:rsidRPr="006F38B5" w:rsidRDefault="006F38B5" w:rsidP="006F38B5">
      <w:pPr>
        <w:pStyle w:val="BodyText"/>
        <w:spacing w:line="276" w:lineRule="auto"/>
        <w:jc w:val="both"/>
        <w:rPr>
          <w:b/>
        </w:rPr>
      </w:pPr>
      <w:r w:rsidRPr="006F38B5">
        <w:rPr>
          <w:b/>
        </w:rPr>
        <w:t>1. Global Energy Corp. provides the following expected returns and</w:t>
      </w:r>
      <w:r>
        <w:rPr>
          <w:b/>
        </w:rPr>
        <w:t xml:space="preserve"> </w:t>
      </w:r>
      <w:r w:rsidRPr="006F38B5">
        <w:rPr>
          <w:b/>
        </w:rPr>
        <w:t>probabilities for five states of the economy:</w:t>
      </w:r>
    </w:p>
    <w:p w:rsidR="006F38B5" w:rsidRPr="006F38B5" w:rsidRDefault="006F38B5" w:rsidP="006F38B5">
      <w:pPr>
        <w:pStyle w:val="BodyText"/>
        <w:spacing w:line="276" w:lineRule="auto"/>
        <w:jc w:val="both"/>
        <w:rPr>
          <w:b/>
        </w:rPr>
      </w:pPr>
      <w:r w:rsidRPr="006F38B5">
        <w:rPr>
          <w:b/>
        </w:rPr>
        <w:t>• State P: Probability = 0.15, Return = 5%</w:t>
      </w:r>
    </w:p>
    <w:p w:rsidR="006F38B5" w:rsidRPr="006F38B5" w:rsidRDefault="006F38B5" w:rsidP="006F38B5">
      <w:pPr>
        <w:pStyle w:val="BodyText"/>
        <w:spacing w:line="276" w:lineRule="auto"/>
        <w:jc w:val="both"/>
        <w:rPr>
          <w:b/>
        </w:rPr>
      </w:pPr>
      <w:r w:rsidRPr="006F38B5">
        <w:rPr>
          <w:b/>
        </w:rPr>
        <w:t>• State Q: Probability = 0.25, Return = 15%</w:t>
      </w:r>
    </w:p>
    <w:p w:rsidR="006F38B5" w:rsidRPr="006F38B5" w:rsidRDefault="006F38B5" w:rsidP="006F38B5">
      <w:pPr>
        <w:pStyle w:val="BodyText"/>
        <w:spacing w:line="276" w:lineRule="auto"/>
        <w:jc w:val="both"/>
        <w:rPr>
          <w:b/>
        </w:rPr>
      </w:pPr>
      <w:r w:rsidRPr="006F38B5">
        <w:rPr>
          <w:b/>
        </w:rPr>
        <w:t>• State R: Probability = 0.3, Return = 10%</w:t>
      </w:r>
    </w:p>
    <w:p w:rsidR="006F38B5" w:rsidRPr="006F38B5" w:rsidRDefault="006F38B5" w:rsidP="006F38B5">
      <w:pPr>
        <w:pStyle w:val="BodyText"/>
        <w:spacing w:line="276" w:lineRule="auto"/>
        <w:jc w:val="both"/>
        <w:rPr>
          <w:b/>
        </w:rPr>
      </w:pPr>
      <w:r w:rsidRPr="006F38B5">
        <w:rPr>
          <w:b/>
        </w:rPr>
        <w:t>• State S: Probability = 0.2, Return = 8%</w:t>
      </w:r>
    </w:p>
    <w:p w:rsidR="006F38B5" w:rsidRPr="006F38B5" w:rsidRDefault="006F38B5" w:rsidP="006F38B5">
      <w:pPr>
        <w:pStyle w:val="BodyText"/>
        <w:spacing w:line="276" w:lineRule="auto"/>
        <w:jc w:val="both"/>
        <w:rPr>
          <w:b/>
        </w:rPr>
      </w:pPr>
      <w:r w:rsidRPr="006F38B5">
        <w:rPr>
          <w:b/>
        </w:rPr>
        <w:t>• State T: Probability = 0.1, Return = 20%</w:t>
      </w:r>
    </w:p>
    <w:p w:rsidR="006F38B5" w:rsidRPr="006F38B5" w:rsidRDefault="006F38B5" w:rsidP="006F38B5">
      <w:pPr>
        <w:pStyle w:val="BodyText"/>
        <w:spacing w:line="276" w:lineRule="auto"/>
        <w:jc w:val="both"/>
        <w:rPr>
          <w:b/>
        </w:rPr>
      </w:pPr>
      <w:r w:rsidRPr="006F38B5">
        <w:rPr>
          <w:b/>
        </w:rPr>
        <w:t>Calculate the average expected return and risk.</w:t>
      </w:r>
    </w:p>
    <w:p w:rsidR="006F38B5" w:rsidRDefault="006F38B5" w:rsidP="006F38B5">
      <w:pPr>
        <w:pStyle w:val="Heading3"/>
        <w:spacing w:line="276" w:lineRule="auto"/>
        <w:jc w:val="both"/>
        <w:rPr>
          <w:rFonts w:cs="Times New Roman"/>
          <w:color w:val="auto"/>
          <w:sz w:val="24"/>
          <w:szCs w:val="24"/>
        </w:rPr>
      </w:pPr>
    </w:p>
    <w:p w:rsidR="006F38B5" w:rsidRDefault="006F38B5" w:rsidP="006F38B5">
      <w:pPr>
        <w:pStyle w:val="Heading3"/>
        <w:spacing w:line="276" w:lineRule="auto"/>
        <w:jc w:val="both"/>
        <w:rPr>
          <w:rFonts w:cs="Times New Roman"/>
          <w:b/>
          <w:color w:val="auto"/>
          <w:sz w:val="24"/>
          <w:szCs w:val="24"/>
        </w:rPr>
      </w:pPr>
      <w:r w:rsidRPr="006F38B5">
        <w:rPr>
          <w:rFonts w:cs="Times New Roman"/>
          <w:b/>
          <w:color w:val="auto"/>
          <w:sz w:val="24"/>
          <w:szCs w:val="24"/>
        </w:rPr>
        <w:t>Ans</w:t>
      </w:r>
      <w:r>
        <w:rPr>
          <w:rFonts w:cs="Times New Roman"/>
          <w:b/>
          <w:color w:val="auto"/>
          <w:sz w:val="24"/>
          <w:szCs w:val="24"/>
        </w:rPr>
        <w:t>1.</w:t>
      </w:r>
    </w:p>
    <w:p w:rsidR="006F38B5" w:rsidRPr="006F38B5" w:rsidRDefault="006F38B5" w:rsidP="006F38B5">
      <w:pPr>
        <w:pStyle w:val="Heading3"/>
        <w:spacing w:line="276" w:lineRule="auto"/>
        <w:jc w:val="both"/>
        <w:rPr>
          <w:rFonts w:cs="Times New Roman"/>
          <w:b/>
          <w:color w:val="auto"/>
          <w:sz w:val="24"/>
          <w:szCs w:val="24"/>
        </w:rPr>
      </w:pPr>
      <w:r w:rsidRPr="006F38B5">
        <w:rPr>
          <w:rFonts w:cs="Times New Roman"/>
          <w:b/>
          <w:color w:val="auto"/>
          <w:sz w:val="24"/>
          <w:szCs w:val="24"/>
        </w:rPr>
        <w:t>Calculating Average Expected Return and Risk</w:t>
      </w:r>
    </w:p>
    <w:p w:rsidR="006F38B5" w:rsidRPr="006F38B5" w:rsidRDefault="006F38B5" w:rsidP="006F38B5">
      <w:pPr>
        <w:pStyle w:val="Heading4"/>
        <w:spacing w:line="276" w:lineRule="auto"/>
        <w:jc w:val="both"/>
        <w:rPr>
          <w:rFonts w:cs="Times New Roman"/>
          <w:i w:val="0"/>
          <w:color w:val="auto"/>
        </w:rPr>
      </w:pPr>
      <w:bookmarkStart w:id="1" w:name="X6169847e4dd67e02c6abaa302252d388dcacc06"/>
      <w:r w:rsidRPr="006F38B5">
        <w:rPr>
          <w:rFonts w:cs="Times New Roman"/>
          <w:i w:val="0"/>
          <w:color w:val="auto"/>
        </w:rPr>
        <w:t>Understanding Average Expected Return and Risk</w:t>
      </w:r>
    </w:p>
    <w:p w:rsidR="006F38B5" w:rsidRPr="006F38B5" w:rsidRDefault="006F38B5" w:rsidP="006F38B5">
      <w:pPr>
        <w:pStyle w:val="FirstParagraph"/>
        <w:spacing w:line="276" w:lineRule="auto"/>
        <w:jc w:val="both"/>
        <w:rPr>
          <w:rFonts w:cs="Times New Roman"/>
        </w:rPr>
      </w:pPr>
      <w:r w:rsidRPr="006F38B5">
        <w:rPr>
          <w:rFonts w:cs="Times New Roman"/>
        </w:rPr>
        <w:t xml:space="preserve">The average expected return and risk are fundamental metrics in portfolio management, aiding in assessing the potential performance and volatility of investments. The expected return represents </w:t>
      </w:r>
      <w:r w:rsidRPr="006F38B5">
        <w:rPr>
          <w:rFonts w:cs="Times New Roman"/>
        </w:rPr>
        <w:lastRenderedPageBreak/>
        <w:t>the weighted average of possible returns based on their probabilities, while risk (standard deviation) quantifies the dispersion of returns around the average.</w:t>
      </w:r>
    </w:p>
    <w:p w:rsidR="006F38B5" w:rsidRPr="006F38B5" w:rsidRDefault="006F38B5" w:rsidP="006F38B5">
      <w:pPr>
        <w:pStyle w:val="Heading4"/>
        <w:spacing w:line="276" w:lineRule="auto"/>
        <w:jc w:val="both"/>
        <w:rPr>
          <w:rFonts w:cs="Times New Roman"/>
          <w:i w:val="0"/>
          <w:color w:val="auto"/>
        </w:rPr>
      </w:pPr>
      <w:bookmarkStart w:id="2" w:name="expected-return-calculation"/>
      <w:bookmarkEnd w:id="1"/>
      <w:r w:rsidRPr="006F38B5">
        <w:rPr>
          <w:rFonts w:cs="Times New Roman"/>
          <w:i w:val="0"/>
          <w:color w:val="auto"/>
        </w:rPr>
        <w:t>Expected Return Calculation</w:t>
      </w:r>
    </w:p>
    <w:p w:rsidR="006F38B5" w:rsidRPr="006F38B5" w:rsidRDefault="006F38B5" w:rsidP="006F38B5">
      <w:pPr>
        <w:pStyle w:val="FirstParagraph"/>
        <w:spacing w:line="276" w:lineRule="auto"/>
        <w:jc w:val="both"/>
        <w:rPr>
          <w:rFonts w:cs="Times New Roman"/>
        </w:rPr>
      </w:pPr>
      <w:r w:rsidRPr="006F38B5">
        <w:rPr>
          <w:rFonts w:cs="Times New Roman"/>
        </w:rPr>
        <w:t>To calculate the expected return for Global Energy Corp., we use the formula:</w:t>
      </w:r>
    </w:p>
    <w:p w:rsidR="006F38B5" w:rsidRPr="006F38B5" w:rsidRDefault="006F38B5" w:rsidP="006F38B5">
      <w:pPr>
        <w:pStyle w:val="BodyText"/>
        <w:spacing w:line="276" w:lineRule="auto"/>
        <w:jc w:val="both"/>
        <w:rPr>
          <w:rFonts w:cs="Times New Roman"/>
        </w:rPr>
      </w:pPr>
      <m:oMathPara>
        <m:oMathParaPr>
          <m:jc m:val="center"/>
        </m:oMathParaPr>
        <m:oMath>
          <m:r>
            <m:rPr>
              <m:sty m:val="p"/>
            </m:rPr>
            <w:rPr>
              <w:rFonts w:ascii="Cambria Math" w:cs="Times New Roman"/>
            </w:rPr>
            <m:t>E</m:t>
          </m:r>
          <m:d>
            <m:dPr>
              <m:ctrlPr>
                <w:rPr>
                  <w:rFonts w:ascii="Cambria Math" w:hAnsi="Cambria Math" w:cs="Times New Roman"/>
                </w:rPr>
              </m:ctrlPr>
            </m:dPr>
            <m:e>
              <m:r>
                <m:rPr>
                  <m:sty m:val="p"/>
                </m:rPr>
                <w:rPr>
                  <w:rFonts w:ascii="Cambria Math" w:cs="Times New Roman"/>
                </w:rPr>
                <m:t>R</m:t>
              </m:r>
            </m:e>
          </m:d>
          <m:r>
            <m:rPr>
              <m:sty m:val="p"/>
            </m:rPr>
            <w:rPr>
              <w:rFonts w:ascii="Cambria Math" w:cs="Times New Roman"/>
            </w:rPr>
            <m:t>=</m:t>
          </m:r>
          <m:r>
            <m:rPr>
              <m:sty m:val="p"/>
            </m:rPr>
            <w:rPr>
              <w:rFonts w:ascii="Cambria Math"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cs="Times New Roman"/>
                    </w:rPr>
                    <m:t>P</m:t>
                  </m:r>
                </m:e>
                <m:sub>
                  <m:r>
                    <m:rPr>
                      <m:sty m:val="p"/>
                    </m:rPr>
                    <w:rPr>
                      <w:rFonts w:ascii="Cambria Math" w:cs="Times New Roman"/>
                    </w:rPr>
                    <m:t>i</m:t>
                  </m:r>
                </m:sub>
              </m:sSub>
              <m:r>
                <m:rPr>
                  <m:sty m:val="p"/>
                </m:rPr>
                <w:rPr>
                  <w:rFonts w:ascii="Cambria Math" w:cs="Times New Roman"/>
                </w:rPr>
                <m:t>×</m:t>
              </m:r>
              <m:sSub>
                <m:sSubPr>
                  <m:ctrlPr>
                    <w:rPr>
                      <w:rFonts w:ascii="Cambria Math" w:hAnsi="Cambria Math" w:cs="Times New Roman"/>
                    </w:rPr>
                  </m:ctrlPr>
                </m:sSubPr>
                <m:e>
                  <m:r>
                    <m:rPr>
                      <m:sty m:val="p"/>
                    </m:rPr>
                    <w:rPr>
                      <w:rFonts w:ascii="Cambria Math" w:cs="Times New Roman"/>
                    </w:rPr>
                    <m:t>R</m:t>
                  </m:r>
                </m:e>
                <m:sub>
                  <m:r>
                    <m:rPr>
                      <m:sty m:val="p"/>
                    </m:rPr>
                    <w:rPr>
                      <w:rFonts w:ascii="Cambria Math" w:cs="Times New Roman"/>
                    </w:rPr>
                    <m:t>i</m:t>
                  </m:r>
                </m:sub>
              </m:sSub>
            </m:e>
          </m:d>
        </m:oMath>
      </m:oMathPara>
    </w:p>
    <w:p w:rsidR="006F38B5" w:rsidRPr="006F38B5" w:rsidRDefault="006F38B5" w:rsidP="006F38B5">
      <w:pPr>
        <w:pStyle w:val="FirstParagraph"/>
        <w:spacing w:line="276" w:lineRule="auto"/>
        <w:jc w:val="both"/>
        <w:rPr>
          <w:rFonts w:cs="Times New Roman"/>
        </w:rPr>
      </w:pPr>
      <w:r w:rsidRPr="006F38B5">
        <w:rPr>
          <w:rFonts w:cs="Times New Roman"/>
        </w:rPr>
        <w:t>Where:</w:t>
      </w:r>
    </w:p>
    <w:p w:rsidR="006F38B5" w:rsidRPr="006F38B5" w:rsidRDefault="008C68BC" w:rsidP="006F38B5">
      <w:pPr>
        <w:pStyle w:val="Compact"/>
        <w:numPr>
          <w:ilvl w:val="0"/>
          <w:numId w:val="1"/>
        </w:numPr>
        <w:spacing w:line="276" w:lineRule="auto"/>
        <w:jc w:val="both"/>
        <w:rPr>
          <w:rFonts w:cs="Times New Roman"/>
        </w:rPr>
      </w:pPr>
      <m:oMath>
        <m:sSub>
          <m:sSubPr>
            <m:ctrlPr>
              <w:rPr>
                <w:rFonts w:ascii="Cambria Math" w:hAnsi="Cambria Math" w:cs="Times New Roman"/>
              </w:rPr>
            </m:ctrlPr>
          </m:sSubPr>
          <m:e>
            <m:r>
              <m:rPr>
                <m:sty m:val="p"/>
              </m:rPr>
              <w:rPr>
                <w:rFonts w:ascii="Cambria Math" w:cs="Times New Roman"/>
              </w:rPr>
              <m:t>P</m:t>
            </m:r>
          </m:e>
          <m:sub>
            <m:r>
              <m:rPr>
                <m:sty m:val="p"/>
              </m:rPr>
              <w:rPr>
                <w:rFonts w:ascii="Cambria Math" w:cs="Times New Roman"/>
              </w:rPr>
              <m:t>i</m:t>
            </m:r>
          </m:sub>
        </m:sSub>
      </m:oMath>
      <w:r w:rsidR="006F38B5" w:rsidRPr="006F38B5">
        <w:rPr>
          <w:rFonts w:cs="Times New Roman"/>
        </w:rPr>
        <w:t xml:space="preserve"> </w:t>
      </w:r>
      <w:proofErr w:type="gramStart"/>
      <w:r w:rsidR="006F38B5" w:rsidRPr="006F38B5">
        <w:rPr>
          <w:rFonts w:cs="Times New Roman"/>
        </w:rPr>
        <w:t>is</w:t>
      </w:r>
      <w:proofErr w:type="gramEnd"/>
      <w:r w:rsidR="006F38B5" w:rsidRPr="006F38B5">
        <w:rPr>
          <w:rFonts w:cs="Times New Roman"/>
        </w:rPr>
        <w:t xml:space="preserve"> the probability of each state.</w:t>
      </w:r>
    </w:p>
    <w:p w:rsidR="006F38B5" w:rsidRDefault="006F38B5" w:rsidP="006F38B5">
      <w:pPr>
        <w:pStyle w:val="FirstParagraph"/>
        <w:spacing w:line="276" w:lineRule="auto"/>
        <w:jc w:val="both"/>
        <w:rPr>
          <w:rFonts w:cs="Times New Roman"/>
        </w:rPr>
      </w:pPr>
      <w:bookmarkStart w:id="3" w:name="conclusion"/>
      <w:bookmarkEnd w:id="2"/>
      <w:proofErr w:type="gramStart"/>
      <w:r w:rsidRPr="006F38B5">
        <w:rPr>
          <w:rFonts w:cs="Times New Roman"/>
        </w:rPr>
        <w:t>for</w:t>
      </w:r>
      <w:proofErr w:type="gramEnd"/>
      <w:r w:rsidRPr="006F38B5">
        <w:rPr>
          <w:rFonts w:cs="Times New Roman"/>
        </w:rPr>
        <w:t xml:space="preserve"> portfolio optimization and risk management strategies in security analysis.</w:t>
      </w:r>
    </w:p>
    <w:p w:rsidR="00510B0F" w:rsidRDefault="00510B0F" w:rsidP="00510B0F">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510B0F" w:rsidRDefault="00510B0F" w:rsidP="00510B0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510B0F" w:rsidRDefault="00510B0F" w:rsidP="00510B0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510B0F" w:rsidRDefault="00510B0F" w:rsidP="00510B0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510B0F" w:rsidRDefault="00510B0F" w:rsidP="00510B0F">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510B0F" w:rsidRDefault="00510B0F" w:rsidP="00510B0F">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510B0F" w:rsidRDefault="00510B0F" w:rsidP="00510B0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10B0F" w:rsidRDefault="00510B0F" w:rsidP="00510B0F">
      <w:pPr>
        <w:spacing w:before="240" w:after="240"/>
        <w:jc w:val="center"/>
        <w:rPr>
          <w:rFonts w:ascii="Georgia" w:hAnsi="Georgia"/>
          <w:b/>
          <w:sz w:val="32"/>
          <w:szCs w:val="32"/>
        </w:rPr>
      </w:pPr>
      <w:r>
        <w:rPr>
          <w:rFonts w:ascii="Georgia" w:hAnsi="Georgia"/>
          <w:b/>
          <w:sz w:val="32"/>
          <w:szCs w:val="32"/>
        </w:rPr>
        <w:t>OR</w:t>
      </w:r>
    </w:p>
    <w:p w:rsidR="00510B0F" w:rsidRDefault="00510B0F" w:rsidP="00510B0F">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510B0F" w:rsidRPr="00EF672A" w:rsidRDefault="00510B0F" w:rsidP="00510B0F">
      <w:pPr>
        <w:spacing w:line="360" w:lineRule="auto"/>
        <w:jc w:val="center"/>
        <w:rPr>
          <w:rFonts w:ascii="Times New Roman" w:hAnsi="Times New Roman" w:cs="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6F38B5" w:rsidRDefault="006F38B5" w:rsidP="006F38B5">
      <w:pPr>
        <w:pStyle w:val="BodyText"/>
        <w:spacing w:line="276" w:lineRule="auto"/>
        <w:jc w:val="both"/>
      </w:pPr>
    </w:p>
    <w:p w:rsidR="006F38B5" w:rsidRDefault="006F38B5" w:rsidP="006F38B5">
      <w:pPr>
        <w:pStyle w:val="BodyText"/>
        <w:spacing w:line="276" w:lineRule="auto"/>
        <w:jc w:val="both"/>
      </w:pPr>
    </w:p>
    <w:p w:rsidR="006F38B5" w:rsidRDefault="006F38B5" w:rsidP="006F38B5">
      <w:pPr>
        <w:pStyle w:val="BodyText"/>
        <w:spacing w:line="276" w:lineRule="auto"/>
        <w:jc w:val="both"/>
      </w:pPr>
    </w:p>
    <w:p w:rsidR="006F38B5" w:rsidRPr="006F38B5" w:rsidRDefault="006F38B5" w:rsidP="006F38B5">
      <w:pPr>
        <w:pStyle w:val="BodyText"/>
        <w:spacing w:line="276" w:lineRule="auto"/>
        <w:jc w:val="both"/>
        <w:rPr>
          <w:b/>
        </w:rPr>
      </w:pPr>
      <w:r w:rsidRPr="006F38B5">
        <w:rPr>
          <w:b/>
        </w:rPr>
        <w:t>2a</w:t>
      </w:r>
      <w:proofErr w:type="gramStart"/>
      <w:r w:rsidRPr="006F38B5">
        <w:rPr>
          <w:b/>
        </w:rPr>
        <w:t>.  Consider</w:t>
      </w:r>
      <w:proofErr w:type="gramEnd"/>
      <w:r w:rsidRPr="006F38B5">
        <w:rPr>
          <w:b/>
        </w:rPr>
        <w:t xml:space="preserve"> a bond with a face value of €500, a 9% annual coupon rate, and 8 years to maturity. If the annual interest rate is 8%, calculate the bond's current value.</w:t>
      </w:r>
    </w:p>
    <w:p w:rsidR="006F38B5" w:rsidRPr="006F38B5" w:rsidRDefault="006F38B5" w:rsidP="006F38B5">
      <w:pPr>
        <w:pStyle w:val="BodyText"/>
        <w:spacing w:line="276" w:lineRule="auto"/>
        <w:jc w:val="both"/>
        <w:rPr>
          <w:b/>
        </w:rPr>
      </w:pPr>
      <w:r w:rsidRPr="006F38B5">
        <w:rPr>
          <w:b/>
        </w:rPr>
        <w:lastRenderedPageBreak/>
        <w:t>b) Discuss the concept of Moving Average Convergence Divergence (MACD)</w:t>
      </w:r>
    </w:p>
    <w:p w:rsidR="006F38B5" w:rsidRPr="006F38B5" w:rsidRDefault="006F38B5" w:rsidP="006F38B5">
      <w:pPr>
        <w:pStyle w:val="BodyText"/>
        <w:spacing w:line="276" w:lineRule="auto"/>
        <w:jc w:val="both"/>
        <w:rPr>
          <w:b/>
        </w:rPr>
      </w:pPr>
      <w:bookmarkStart w:id="4" w:name="X495aef4d2a4a0ad6adeb91e309df1b0c56ca993"/>
      <w:r w:rsidRPr="006F38B5">
        <w:rPr>
          <w:b/>
        </w:rPr>
        <w:t xml:space="preserve">Ans2: </w:t>
      </w:r>
    </w:p>
    <w:p w:rsidR="006F38B5" w:rsidRPr="006F38B5" w:rsidRDefault="006F38B5" w:rsidP="006F38B5">
      <w:pPr>
        <w:pStyle w:val="BodyText"/>
        <w:spacing w:line="276" w:lineRule="auto"/>
        <w:jc w:val="both"/>
        <w:rPr>
          <w:b/>
        </w:rPr>
      </w:pPr>
      <w:r w:rsidRPr="006F38B5">
        <w:rPr>
          <w:b/>
        </w:rPr>
        <w:t>Calculating Bond Value and Discussing MACD</w:t>
      </w:r>
    </w:p>
    <w:p w:rsidR="006F38B5" w:rsidRPr="006F38B5" w:rsidRDefault="006F38B5" w:rsidP="006F38B5">
      <w:pPr>
        <w:pStyle w:val="BodyText"/>
        <w:spacing w:line="276" w:lineRule="auto"/>
        <w:jc w:val="both"/>
        <w:rPr>
          <w:b/>
          <w:iCs/>
        </w:rPr>
      </w:pPr>
      <w:bookmarkStart w:id="5" w:name="a-bond-valuation"/>
      <w:r w:rsidRPr="006F38B5">
        <w:rPr>
          <w:b/>
          <w:iCs/>
        </w:rPr>
        <w:t xml:space="preserve"> (a) Bond Valuation</w:t>
      </w:r>
    </w:p>
    <w:p w:rsidR="006F38B5" w:rsidRPr="006F38B5" w:rsidRDefault="006F38B5" w:rsidP="006F38B5">
      <w:pPr>
        <w:pStyle w:val="BodyText"/>
        <w:spacing w:line="276" w:lineRule="auto"/>
        <w:jc w:val="both"/>
      </w:pPr>
      <w:r w:rsidRPr="006F38B5">
        <w:t>Bond valuation is essential for determining the fair price of a bond based on its future cash flows, which consist of periodic coupon payments and the face value at maturity. The present value (PV) of these cash flows is calculated using the formula:</w:t>
      </w:r>
    </w:p>
    <w:p w:rsidR="006F38B5" w:rsidRPr="006F38B5" w:rsidRDefault="006F38B5" w:rsidP="006F38B5">
      <w:pPr>
        <w:pStyle w:val="BodyText"/>
        <w:spacing w:line="276" w:lineRule="auto"/>
        <w:jc w:val="both"/>
      </w:pPr>
      <m:oMathPara>
        <m:oMathParaPr>
          <m:jc m:val="center"/>
        </m:oMathParaPr>
        <m:oMath>
          <m:r>
            <m:rPr>
              <m:sty m:val="p"/>
            </m:rPr>
            <w:rPr>
              <w:rFonts w:ascii="Cambria Math" w:hAnsi="Cambria Math"/>
            </w:rPr>
            <m:t>P=</m:t>
          </m:r>
          <m:nary>
            <m:naryPr>
              <m:chr m:val="∑"/>
              <m:limLoc m:val="undOvr"/>
              <m:ctrlPr>
                <w:rPr>
                  <w:rFonts w:ascii="Cambria Math" w:hAnsi="Cambria Math"/>
                </w:rPr>
              </m:ctrlPr>
            </m:naryPr>
            <m:sub>
              <m:r>
                <m:rPr>
                  <m:sty m:val="p"/>
                </m:rPr>
                <w:rPr>
                  <w:rFonts w:ascii="Cambria Math" w:hAnsi="Cambria Math"/>
                </w:rPr>
                <m:t>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C</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1+r</m:t>
                          </m:r>
                        </m:e>
                      </m:d>
                    </m:e>
                    <m:sup>
                      <m:r>
                        <m:rPr>
                          <m:sty m:val="p"/>
                        </m:rPr>
                        <w:rPr>
                          <w:rFonts w:ascii="Cambria Math" w:hAnsi="Cambria Math"/>
                        </w:rPr>
                        <m:t>t</m:t>
                      </m:r>
                    </m:sup>
                  </m:sSup>
                </m:den>
              </m:f>
            </m:e>
          </m:nary>
          <m:r>
            <m:rPr>
              <m:sty m:val="p"/>
            </m:rPr>
            <w:rPr>
              <w:rFonts w:ascii="Cambria Math" w:hAnsi="Cambria Math"/>
            </w:rPr>
            <m:t>+</m:t>
          </m:r>
          <m:f>
            <m:fPr>
              <m:ctrlPr>
                <w:rPr>
                  <w:rFonts w:ascii="Cambria Math" w:hAnsi="Cambria Math"/>
                </w:rPr>
              </m:ctrlPr>
            </m:fPr>
            <m:num>
              <m:r>
                <m:rPr>
                  <m:sty m:val="p"/>
                </m:rPr>
                <w:rPr>
                  <w:rFonts w:ascii="Cambria Math" w:hAnsi="Cambria Math"/>
                </w:rPr>
                <m:t>F</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1+r</m:t>
                      </m:r>
                    </m:e>
                  </m:d>
                </m:e>
                <m:sup>
                  <m:r>
                    <m:rPr>
                      <m:sty m:val="p"/>
                    </m:rPr>
                    <w:rPr>
                      <w:rFonts w:ascii="Cambria Math" w:hAnsi="Cambria Math"/>
                    </w:rPr>
                    <m:t>n</m:t>
                  </m:r>
                </m:sup>
              </m:sSup>
            </m:den>
          </m:f>
        </m:oMath>
      </m:oMathPara>
    </w:p>
    <w:p w:rsidR="006F38B5" w:rsidRPr="006F38B5" w:rsidRDefault="006F38B5" w:rsidP="006F38B5">
      <w:pPr>
        <w:pStyle w:val="BodyText"/>
        <w:spacing w:line="276" w:lineRule="auto"/>
        <w:jc w:val="both"/>
      </w:pPr>
      <w:r w:rsidRPr="006F38B5">
        <w:t>Where:</w:t>
      </w:r>
    </w:p>
    <w:p w:rsidR="006F38B5" w:rsidRPr="006F38B5" w:rsidRDefault="006F38B5" w:rsidP="006F38B5">
      <w:pPr>
        <w:pStyle w:val="BodyText"/>
        <w:numPr>
          <w:ilvl w:val="0"/>
          <w:numId w:val="1"/>
        </w:numPr>
        <w:spacing w:line="276" w:lineRule="auto"/>
        <w:jc w:val="both"/>
      </w:pPr>
      <m:oMath>
        <m:r>
          <m:rPr>
            <m:sty m:val="p"/>
          </m:rPr>
          <w:rPr>
            <w:rFonts w:ascii="Cambria Math" w:hAnsi="Cambria Math"/>
          </w:rPr>
          <m:t>P</m:t>
        </m:r>
      </m:oMath>
      <w:r w:rsidRPr="006F38B5">
        <w:t xml:space="preserve"> </w:t>
      </w:r>
      <w:proofErr w:type="gramStart"/>
      <w:r w:rsidRPr="006F38B5">
        <w:t>is</w:t>
      </w:r>
      <w:proofErr w:type="gramEnd"/>
      <w:r w:rsidRPr="006F38B5">
        <w:t xml:space="preserve"> the bond price.</w:t>
      </w:r>
    </w:p>
    <w:p w:rsidR="006F38B5" w:rsidRPr="006F38B5" w:rsidRDefault="006F38B5" w:rsidP="006F38B5">
      <w:pPr>
        <w:pStyle w:val="BodyText"/>
        <w:numPr>
          <w:ilvl w:val="0"/>
          <w:numId w:val="1"/>
        </w:numPr>
        <w:spacing w:line="276" w:lineRule="auto"/>
        <w:jc w:val="both"/>
      </w:pPr>
      <m:oMath>
        <m:r>
          <m:rPr>
            <m:sty m:val="p"/>
          </m:rPr>
          <w:rPr>
            <w:rFonts w:ascii="Cambria Math" w:hAnsi="Cambria Math"/>
          </w:rPr>
          <m:t>C</m:t>
        </m:r>
      </m:oMath>
      <w:r w:rsidRPr="006F38B5">
        <w:t xml:space="preserve"> </w:t>
      </w:r>
      <w:proofErr w:type="gramStart"/>
      <w:r w:rsidRPr="006F38B5">
        <w:t>is</w:t>
      </w:r>
      <w:proofErr w:type="gramEnd"/>
      <w:r w:rsidRPr="006F38B5">
        <w:t xml:space="preserve"> the annual coupon payment (</w:t>
      </w:r>
      <m:oMath>
        <m:r>
          <m:rPr>
            <m:sty m:val="p"/>
          </m:rPr>
          <w:rPr>
            <w:rFonts w:ascii="Cambria Math" w:hAnsi="Cambria Math"/>
          </w:rPr>
          <m:t>F×</m:t>
        </m:r>
        <m:r>
          <m:rPr>
            <m:nor/>
          </m:rPr>
          <m:t>Coupon Rate</m:t>
        </m:r>
      </m:oMath>
      <w:r w:rsidRPr="006F38B5">
        <w:t>).</w:t>
      </w:r>
    </w:p>
    <w:p w:rsidR="006F38B5" w:rsidRPr="006F38B5" w:rsidRDefault="006F38B5" w:rsidP="006F38B5">
      <w:pPr>
        <w:pStyle w:val="BodyText"/>
        <w:numPr>
          <w:ilvl w:val="0"/>
          <w:numId w:val="1"/>
        </w:numPr>
        <w:spacing w:line="276" w:lineRule="auto"/>
        <w:jc w:val="both"/>
      </w:pPr>
      <m:oMath>
        <m:r>
          <m:rPr>
            <m:sty m:val="p"/>
          </m:rPr>
          <w:rPr>
            <w:rFonts w:ascii="Cambria Math" w:hAnsi="Cambria Math"/>
          </w:rPr>
          <m:t>F</m:t>
        </m:r>
      </m:oMath>
      <w:r w:rsidRPr="006F38B5">
        <w:t xml:space="preserve"> </w:t>
      </w:r>
      <w:proofErr w:type="gramStart"/>
      <w:r w:rsidRPr="006F38B5">
        <w:t>is</w:t>
      </w:r>
      <w:proofErr w:type="gramEnd"/>
      <w:r w:rsidRPr="006F38B5">
        <w:t xml:space="preserve"> the face value of the bond.</w:t>
      </w:r>
    </w:p>
    <w:p w:rsidR="006F38B5" w:rsidRPr="006F38B5" w:rsidRDefault="006F38B5" w:rsidP="006F38B5">
      <w:pPr>
        <w:pStyle w:val="BodyText"/>
        <w:spacing w:line="276" w:lineRule="auto"/>
        <w:jc w:val="both"/>
      </w:pPr>
      <w:bookmarkStart w:id="6" w:name="X3a279d585251b66bbb03601fe7519eb66b00e59"/>
      <w:bookmarkEnd w:id="5"/>
    </w:p>
    <w:p w:rsidR="006F38B5" w:rsidRDefault="006F38B5" w:rsidP="006F38B5">
      <w:pPr>
        <w:pStyle w:val="BodyText"/>
        <w:spacing w:line="276" w:lineRule="auto"/>
        <w:jc w:val="both"/>
      </w:pPr>
    </w:p>
    <w:p w:rsidR="006F38B5" w:rsidRPr="006F38B5" w:rsidRDefault="006F38B5" w:rsidP="006F38B5">
      <w:pPr>
        <w:pStyle w:val="BodyText"/>
        <w:spacing w:line="276" w:lineRule="auto"/>
        <w:jc w:val="both"/>
        <w:rPr>
          <w:b/>
        </w:rPr>
      </w:pPr>
      <w:proofErr w:type="gramStart"/>
      <w:r w:rsidRPr="006F38B5">
        <w:rPr>
          <w:b/>
        </w:rPr>
        <w:t>3a. Assuming a risk-free rate of 6% and an expected market risk premium of 9%, what is the expected return on a stock with a beta of 1.0?</w:t>
      </w:r>
      <w:proofErr w:type="gramEnd"/>
    </w:p>
    <w:p w:rsidR="006F38B5" w:rsidRPr="006F38B5" w:rsidRDefault="006F38B5" w:rsidP="006F38B5">
      <w:pPr>
        <w:pStyle w:val="BodyText"/>
        <w:spacing w:line="276" w:lineRule="auto"/>
        <w:jc w:val="both"/>
        <w:rPr>
          <w:b/>
        </w:rPr>
      </w:pPr>
      <w:r w:rsidRPr="006F38B5">
        <w:rPr>
          <w:b/>
        </w:rPr>
        <w:t>b. Discuss the principles and implications of the Efficient Market Hypothesis.</w:t>
      </w:r>
    </w:p>
    <w:p w:rsidR="006F38B5" w:rsidRPr="006F38B5" w:rsidRDefault="006F38B5" w:rsidP="006F38B5">
      <w:pPr>
        <w:pStyle w:val="BodyText"/>
        <w:spacing w:line="276" w:lineRule="auto"/>
        <w:jc w:val="both"/>
        <w:rPr>
          <w:b/>
        </w:rPr>
      </w:pPr>
      <w:bookmarkStart w:id="7" w:name="Xe6d921cfbfb8f932f9988f364b6bb6a5cd6b358"/>
      <w:bookmarkEnd w:id="4"/>
      <w:bookmarkEnd w:id="6"/>
      <w:r w:rsidRPr="006F38B5">
        <w:rPr>
          <w:b/>
        </w:rPr>
        <w:t xml:space="preserve">Ans 3: </w:t>
      </w:r>
    </w:p>
    <w:p w:rsidR="006F38B5" w:rsidRPr="006F38B5" w:rsidRDefault="006F38B5" w:rsidP="006F38B5">
      <w:pPr>
        <w:pStyle w:val="BodyText"/>
        <w:spacing w:line="276" w:lineRule="auto"/>
        <w:jc w:val="both"/>
      </w:pPr>
      <w:r w:rsidRPr="006F38B5">
        <w:t>Expected Return and Efficient Market Hypothesis</w:t>
      </w:r>
    </w:p>
    <w:p w:rsidR="006F38B5" w:rsidRPr="006F38B5" w:rsidRDefault="006F38B5" w:rsidP="006F38B5">
      <w:pPr>
        <w:pStyle w:val="BodyText"/>
        <w:spacing w:line="276" w:lineRule="auto"/>
        <w:jc w:val="both"/>
        <w:rPr>
          <w:b/>
          <w:iCs/>
        </w:rPr>
      </w:pPr>
      <w:bookmarkStart w:id="8" w:name="a-expected-return-using-capm"/>
      <w:r w:rsidRPr="006F38B5">
        <w:rPr>
          <w:b/>
          <w:iCs/>
        </w:rPr>
        <w:t xml:space="preserve"> (a) Expected Return Using CAPM</w:t>
      </w:r>
    </w:p>
    <w:p w:rsidR="006F38B5" w:rsidRPr="006F38B5" w:rsidRDefault="006F38B5" w:rsidP="006F38B5">
      <w:pPr>
        <w:pStyle w:val="BodyText"/>
        <w:spacing w:line="276" w:lineRule="auto"/>
        <w:jc w:val="both"/>
      </w:pPr>
      <w:r w:rsidRPr="006F38B5">
        <w:t>The Capital Asset Pricing Model (CAPM) calculates the expected return of an asset based on its systematic risk (</w:t>
      </w:r>
      <m:oMath>
        <m:r>
          <m:rPr>
            <m:sty m:val="p"/>
          </m:rPr>
          <w:rPr>
            <w:rFonts w:ascii="Cambria Math" w:hAnsi="Cambria Math"/>
          </w:rPr>
          <m:t>β</m:t>
        </m:r>
      </m:oMath>
      <w:r w:rsidRPr="006F38B5">
        <w:t>), the risk-free rate, and the market risk premium. The formula is:</w:t>
      </w:r>
    </w:p>
    <w:p w:rsidR="006F38B5" w:rsidRPr="006F38B5" w:rsidRDefault="006F38B5" w:rsidP="006F38B5">
      <w:pPr>
        <w:pStyle w:val="BodyText"/>
        <w:spacing w:line="276" w:lineRule="auto"/>
        <w:jc w:val="both"/>
      </w:pPr>
      <m:oMathPara>
        <m:oMathParaPr>
          <m:jc m:val="center"/>
        </m:oMathParaPr>
        <m:oMath>
          <m:r>
            <m:rPr>
              <m:sty m:val="p"/>
            </m:rPr>
            <w:rPr>
              <w:rFonts w:ascii="Cambria Math" w:hAnsi="Cambria Math"/>
            </w:rPr>
            <m:t>E</m:t>
          </m:r>
          <m:d>
            <m:dPr>
              <m:ctrlPr>
                <w:rPr>
                  <w:rFonts w:ascii="Cambria Math" w:hAnsi="Cambria Math"/>
                </w:rPr>
              </m:ctrlPr>
            </m:dPr>
            <m:e>
              <m:r>
                <m:rPr>
                  <m:sty m:val="p"/>
                </m:rPr>
                <w:rPr>
                  <w:rFonts w:ascii="Cambria Math" w:hAnsi="Cambria Math"/>
                </w:rPr>
                <m:t>R</m:t>
              </m:r>
            </m:e>
          </m:d>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r>
            <m:rPr>
              <m:sty m:val="p"/>
            </m:rPr>
            <w:rPr>
              <w:rFonts w:ascii="Cambria Math" w:hAnsi="Cambria Math"/>
            </w:rPr>
            <m:t>+β×</m:t>
          </m:r>
          <m:d>
            <m:dPr>
              <m:ctrlPr>
                <w:rPr>
                  <w:rFonts w:ascii="Cambria Math" w:hAnsi="Cambria Math"/>
                </w:rPr>
              </m:ctrlPr>
            </m:dPr>
            <m:e>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e>
          </m:d>
        </m:oMath>
      </m:oMathPara>
    </w:p>
    <w:p w:rsidR="006F38B5" w:rsidRPr="006F38B5" w:rsidRDefault="006F38B5" w:rsidP="006F38B5">
      <w:pPr>
        <w:pStyle w:val="BodyText"/>
        <w:spacing w:line="276" w:lineRule="auto"/>
        <w:jc w:val="both"/>
      </w:pPr>
      <w:r w:rsidRPr="006F38B5">
        <w:t>Where:</w:t>
      </w:r>
    </w:p>
    <w:p w:rsidR="006F38B5" w:rsidRPr="006F38B5" w:rsidRDefault="006F38B5" w:rsidP="006F38B5">
      <w:pPr>
        <w:pStyle w:val="BodyText"/>
        <w:numPr>
          <w:ilvl w:val="0"/>
          <w:numId w:val="1"/>
        </w:numPr>
        <w:spacing w:line="276" w:lineRule="auto"/>
        <w:jc w:val="both"/>
      </w:pPr>
      <m:oMath>
        <m:r>
          <m:rPr>
            <m:sty m:val="p"/>
          </m:rPr>
          <w:rPr>
            <w:rFonts w:ascii="Cambria Math" w:hAnsi="Cambria Math"/>
          </w:rPr>
          <m:t>E</m:t>
        </m:r>
        <m:d>
          <m:dPr>
            <m:ctrlPr>
              <w:rPr>
                <w:rFonts w:ascii="Cambria Math" w:hAnsi="Cambria Math"/>
              </w:rPr>
            </m:ctrlPr>
          </m:dPr>
          <m:e>
            <m:r>
              <m:rPr>
                <m:sty m:val="p"/>
              </m:rPr>
              <w:rPr>
                <w:rFonts w:ascii="Cambria Math" w:hAnsi="Cambria Math"/>
              </w:rPr>
              <m:t>R</m:t>
            </m:r>
          </m:e>
        </m:d>
      </m:oMath>
      <w:r w:rsidRPr="006F38B5">
        <w:t xml:space="preserve"> </w:t>
      </w:r>
      <w:proofErr w:type="gramStart"/>
      <w:r w:rsidRPr="006F38B5">
        <w:t>is</w:t>
      </w:r>
      <w:proofErr w:type="gramEnd"/>
      <w:r w:rsidRPr="006F38B5">
        <w:t xml:space="preserve"> the expected return.</w:t>
      </w:r>
    </w:p>
    <w:p w:rsidR="006F38B5" w:rsidRPr="006F38B5" w:rsidRDefault="008C68BC" w:rsidP="006F38B5">
      <w:pPr>
        <w:pStyle w:val="BodyText"/>
        <w:numPr>
          <w:ilvl w:val="0"/>
          <w:numId w:val="1"/>
        </w:numPr>
        <w:spacing w:line="276" w:lineRule="auto"/>
        <w:jc w:val="both"/>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oMath>
      <w:r w:rsidR="006F38B5" w:rsidRPr="006F38B5">
        <w:t xml:space="preserve"> </w:t>
      </w:r>
      <w:proofErr w:type="gramStart"/>
      <w:r w:rsidR="006F38B5" w:rsidRPr="006F38B5">
        <w:t>is</w:t>
      </w:r>
      <w:proofErr w:type="gramEnd"/>
      <w:r w:rsidR="006F38B5" w:rsidRPr="006F38B5">
        <w:t xml:space="preserve"> the risk-free rate (6%).</w:t>
      </w:r>
    </w:p>
    <w:p w:rsidR="006F38B5" w:rsidRPr="006F38B5" w:rsidRDefault="006F38B5" w:rsidP="006F38B5">
      <w:pPr>
        <w:pStyle w:val="BodyText"/>
        <w:numPr>
          <w:ilvl w:val="0"/>
          <w:numId w:val="1"/>
        </w:numPr>
        <w:spacing w:line="276" w:lineRule="auto"/>
        <w:jc w:val="both"/>
      </w:pPr>
      <m:oMath>
        <m:r>
          <m:rPr>
            <m:sty m:val="p"/>
          </m:rPr>
          <w:rPr>
            <w:rFonts w:ascii="Cambria Math" w:hAnsi="Cambria Math"/>
          </w:rPr>
          <w:lastRenderedPageBreak/>
          <m:t>β</m:t>
        </m:r>
      </m:oMath>
      <w:r w:rsidRPr="006F38B5">
        <w:t xml:space="preserve"> </w:t>
      </w:r>
      <w:proofErr w:type="gramStart"/>
      <w:r w:rsidRPr="006F38B5">
        <w:t>is</w:t>
      </w:r>
      <w:proofErr w:type="gramEnd"/>
      <w:r w:rsidRPr="006F38B5">
        <w:t xml:space="preserve"> the stock's beta (1.0).</w:t>
      </w:r>
    </w:p>
    <w:p w:rsidR="006F38B5" w:rsidRDefault="006F38B5" w:rsidP="006F38B5">
      <w:pPr>
        <w:pStyle w:val="BodyText"/>
        <w:spacing w:line="276" w:lineRule="auto"/>
        <w:jc w:val="center"/>
      </w:pPr>
      <w:bookmarkStart w:id="9" w:name="Xb19e8a313c9c6c506f2eb3fce00dfd172370813"/>
      <w:bookmarkEnd w:id="8"/>
    </w:p>
    <w:p w:rsidR="006F38B5" w:rsidRPr="006F38B5" w:rsidRDefault="006F38B5" w:rsidP="006F38B5">
      <w:pPr>
        <w:pStyle w:val="BodyText"/>
        <w:spacing w:line="276" w:lineRule="auto"/>
        <w:jc w:val="center"/>
        <w:rPr>
          <w:b/>
        </w:rPr>
      </w:pPr>
      <w:r w:rsidRPr="006F38B5">
        <w:rPr>
          <w:b/>
        </w:rPr>
        <w:t>Assignment Set – 2</w:t>
      </w:r>
    </w:p>
    <w:p w:rsidR="006F38B5" w:rsidRDefault="006F38B5" w:rsidP="006F38B5">
      <w:pPr>
        <w:pStyle w:val="BodyText"/>
        <w:spacing w:line="276" w:lineRule="auto"/>
        <w:jc w:val="both"/>
      </w:pPr>
    </w:p>
    <w:p w:rsidR="006F38B5" w:rsidRPr="006F38B5" w:rsidRDefault="006F38B5" w:rsidP="006F38B5">
      <w:pPr>
        <w:pStyle w:val="BodyText"/>
        <w:spacing w:line="276" w:lineRule="auto"/>
        <w:jc w:val="both"/>
        <w:rPr>
          <w:b/>
        </w:rPr>
      </w:pPr>
      <w:r w:rsidRPr="006F38B5">
        <w:rPr>
          <w:b/>
        </w:rPr>
        <w:t>4a. Analyze the role of Global Depository Receipts (GDRs) as a global investment avenue.</w:t>
      </w:r>
    </w:p>
    <w:p w:rsidR="006F38B5" w:rsidRPr="006F38B5" w:rsidRDefault="006F38B5" w:rsidP="006F38B5">
      <w:pPr>
        <w:pStyle w:val="BodyText"/>
        <w:spacing w:line="276" w:lineRule="auto"/>
        <w:jc w:val="both"/>
        <w:rPr>
          <w:b/>
        </w:rPr>
      </w:pPr>
      <w:r w:rsidRPr="006F38B5">
        <w:rPr>
          <w:b/>
        </w:rPr>
        <w:t>b) Nancy invested 60% of her portfolio in Stock X, which has a return of 15%, and the remaining 40% in Stock Y, which has a return of 10%. Calculate the expected return of Nancy’s portfolio.</w:t>
      </w:r>
    </w:p>
    <w:p w:rsidR="006F38B5" w:rsidRPr="006F38B5" w:rsidRDefault="006F38B5" w:rsidP="006F38B5">
      <w:pPr>
        <w:pStyle w:val="Heading3"/>
        <w:spacing w:line="276" w:lineRule="auto"/>
        <w:jc w:val="both"/>
        <w:rPr>
          <w:rFonts w:cs="Times New Roman"/>
          <w:b/>
          <w:color w:val="auto"/>
          <w:sz w:val="24"/>
          <w:szCs w:val="24"/>
        </w:rPr>
      </w:pPr>
      <w:bookmarkStart w:id="10" w:name="X76c3bf796c38f2fcb3e1c8f3f046d502b872d83"/>
      <w:r w:rsidRPr="006F38B5">
        <w:rPr>
          <w:rFonts w:cs="Times New Roman"/>
          <w:b/>
          <w:color w:val="auto"/>
          <w:sz w:val="24"/>
          <w:szCs w:val="24"/>
        </w:rPr>
        <w:t xml:space="preserve">Ans 4: </w:t>
      </w:r>
    </w:p>
    <w:p w:rsidR="006F38B5" w:rsidRPr="006F38B5" w:rsidRDefault="006F38B5" w:rsidP="006F38B5">
      <w:pPr>
        <w:pStyle w:val="Heading4"/>
        <w:spacing w:line="276" w:lineRule="auto"/>
        <w:jc w:val="both"/>
        <w:rPr>
          <w:rFonts w:cs="Times New Roman"/>
          <w:b/>
          <w:i w:val="0"/>
          <w:color w:val="auto"/>
        </w:rPr>
      </w:pPr>
      <w:bookmarkStart w:id="11" w:name="Xfdb86b142c23098e789efd26d24fc81c3b54d98"/>
      <w:r w:rsidRPr="006F38B5">
        <w:rPr>
          <w:rFonts w:cs="Times New Roman"/>
          <w:b/>
          <w:i w:val="0"/>
          <w:color w:val="auto"/>
        </w:rPr>
        <w:t xml:space="preserve"> (a) Role of Global Depository Receipts (GDRs) as a Global Investment Avenue</w:t>
      </w:r>
    </w:p>
    <w:p w:rsidR="006F38B5" w:rsidRPr="00DE63A9" w:rsidRDefault="006F38B5" w:rsidP="006F38B5">
      <w:pPr>
        <w:pStyle w:val="FirstParagraph"/>
        <w:spacing w:line="276" w:lineRule="auto"/>
        <w:jc w:val="both"/>
        <w:rPr>
          <w:rFonts w:cs="Times New Roman"/>
        </w:rPr>
      </w:pPr>
      <w:r w:rsidRPr="00DE63A9">
        <w:rPr>
          <w:rFonts w:cs="Times New Roman"/>
        </w:rPr>
        <w:t>Global Depository Receipts (GDRs) are financial instruments that allow companies to raise capital internationally by issuing shares in foreign markets. These receipts are issued by international banks and represent ownership of a company’s shares, which are traded on stock exchanges outside the issuer's home country. GDRs bridge the gap between global investors and domestic companies, fostering cross-border investments.</w:t>
      </w:r>
    </w:p>
    <w:p w:rsidR="006F38B5" w:rsidRPr="00DE63A9" w:rsidRDefault="006F38B5" w:rsidP="006F38B5">
      <w:pPr>
        <w:pStyle w:val="BodyText"/>
        <w:spacing w:line="276" w:lineRule="auto"/>
        <w:jc w:val="both"/>
        <w:rPr>
          <w:rFonts w:cs="Times New Roman"/>
        </w:rPr>
      </w:pPr>
      <w:r w:rsidRPr="00DE63A9">
        <w:rPr>
          <w:rFonts w:cs="Times New Roman"/>
          <w:b/>
          <w:bCs/>
        </w:rPr>
        <w:t>Key Features of GDRs:</w:t>
      </w:r>
    </w:p>
    <w:p w:rsidR="006F38B5" w:rsidRPr="00DE63A9" w:rsidRDefault="006F38B5" w:rsidP="00510B0F">
      <w:pPr>
        <w:pStyle w:val="Compact"/>
        <w:spacing w:line="276" w:lineRule="auto"/>
        <w:jc w:val="both"/>
        <w:rPr>
          <w:rFonts w:cs="Times New Roman"/>
        </w:rPr>
      </w:pPr>
      <w:r w:rsidRPr="00DE63A9">
        <w:rPr>
          <w:rFonts w:cs="Times New Roman"/>
          <w:b/>
          <w:bCs/>
        </w:rPr>
        <w:t>Cross-Border Accessibility:</w:t>
      </w:r>
      <w:r w:rsidRPr="00DE63A9">
        <w:rPr>
          <w:rFonts w:cs="Times New Roman"/>
        </w:rPr>
        <w:t xml:space="preserve"> GDRs enable investors to invest in foreign companies without the </w:t>
      </w:r>
    </w:p>
    <w:p w:rsidR="006F38B5" w:rsidRPr="00DE63A9" w:rsidRDefault="006F38B5" w:rsidP="006F38B5">
      <w:pPr>
        <w:spacing w:line="276" w:lineRule="auto"/>
        <w:jc w:val="both"/>
        <w:rPr>
          <w:rFonts w:ascii="Times New Roman" w:hAnsi="Times New Roman" w:cs="Times New Roman"/>
        </w:rPr>
      </w:pPr>
    </w:p>
    <w:p w:rsidR="006F38B5" w:rsidRPr="006F38B5" w:rsidRDefault="006F38B5" w:rsidP="006F38B5">
      <w:pPr>
        <w:pStyle w:val="Heading4"/>
        <w:spacing w:line="276" w:lineRule="auto"/>
        <w:jc w:val="both"/>
        <w:rPr>
          <w:rFonts w:cs="Times New Roman"/>
          <w:b/>
          <w:i w:val="0"/>
          <w:color w:val="auto"/>
        </w:rPr>
      </w:pPr>
      <w:bookmarkStart w:id="12" w:name="b-calculating-portfolio-return"/>
      <w:bookmarkEnd w:id="11"/>
      <w:r w:rsidRPr="006F38B5">
        <w:rPr>
          <w:rFonts w:cs="Times New Roman"/>
          <w:b/>
          <w:i w:val="0"/>
          <w:color w:val="auto"/>
        </w:rPr>
        <w:t>(b) Calculating Portfolio Return</w:t>
      </w:r>
    </w:p>
    <w:p w:rsidR="006F38B5" w:rsidRPr="00DE63A9" w:rsidRDefault="006F38B5" w:rsidP="006F38B5">
      <w:pPr>
        <w:pStyle w:val="FirstParagraph"/>
        <w:spacing w:line="276" w:lineRule="auto"/>
        <w:jc w:val="both"/>
        <w:rPr>
          <w:rFonts w:cs="Times New Roman"/>
        </w:rPr>
      </w:pPr>
      <w:r w:rsidRPr="00DE63A9">
        <w:rPr>
          <w:rFonts w:cs="Times New Roman"/>
        </w:rPr>
        <w:t xml:space="preserve">Portfolio return is the weighted average return of the assets in a portfolio, determined by the proportion of investment in each asset and its respective return. Nancy’s portfolio consists of Stock X (60% weight, 15% </w:t>
      </w:r>
      <w:proofErr w:type="gramStart"/>
      <w:r w:rsidRPr="00DE63A9">
        <w:rPr>
          <w:rFonts w:cs="Times New Roman"/>
        </w:rPr>
        <w:t>return</w:t>
      </w:r>
      <w:proofErr w:type="gramEnd"/>
      <w:r w:rsidRPr="00DE63A9">
        <w:rPr>
          <w:rFonts w:cs="Times New Roman"/>
        </w:rPr>
        <w:t>) and Stock Y (40% weight, 10% return).</w:t>
      </w:r>
    </w:p>
    <w:p w:rsidR="006F38B5" w:rsidRPr="00DE63A9" w:rsidRDefault="006F38B5" w:rsidP="006F38B5">
      <w:pPr>
        <w:pStyle w:val="BodyText"/>
        <w:spacing w:line="276" w:lineRule="auto"/>
        <w:jc w:val="both"/>
        <w:rPr>
          <w:rFonts w:cs="Times New Roman"/>
        </w:rPr>
      </w:pPr>
      <w:r w:rsidRPr="00DE63A9">
        <w:rPr>
          <w:rFonts w:cs="Times New Roman"/>
          <w:b/>
          <w:bCs/>
        </w:rPr>
        <w:t>Formula for Portfolio Return:</w:t>
      </w:r>
    </w:p>
    <w:p w:rsidR="006F38B5" w:rsidRPr="00DE63A9" w:rsidRDefault="008C68BC" w:rsidP="006F38B5">
      <w:pPr>
        <w:pStyle w:val="BodyText"/>
        <w:spacing w:line="276" w:lineRule="auto"/>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cs="Times New Roman"/>
                </w:rPr>
                <m:t>R</m:t>
              </m:r>
            </m:e>
            <m:sub>
              <m:r>
                <m:rPr>
                  <m:sty m:val="p"/>
                </m:rPr>
                <w:rPr>
                  <w:rFonts w:ascii="Cambria Math" w:cs="Times New Roman"/>
                </w:rPr>
                <m:t>p</m:t>
              </m:r>
            </m:sub>
          </m:sSub>
          <m:r>
            <m:rPr>
              <m:sty m:val="p"/>
            </m:rPr>
            <w:rPr>
              <w:rFonts w:ascii="Cambria Math"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cs="Times New Roman"/>
                    </w:rPr>
                    <m:t>w</m:t>
                  </m:r>
                </m:e>
                <m:sub>
                  <m:r>
                    <m:rPr>
                      <m:sty m:val="p"/>
                    </m:rPr>
                    <w:rPr>
                      <w:rFonts w:ascii="Cambria Math" w:cs="Times New Roman"/>
                    </w:rPr>
                    <m:t>X</m:t>
                  </m:r>
                </m:sub>
              </m:sSub>
              <m:r>
                <m:rPr>
                  <m:sty m:val="p"/>
                </m:rPr>
                <w:rPr>
                  <w:rFonts w:ascii="Cambria Math" w:cs="Times New Roman"/>
                </w:rPr>
                <m:t>×</m:t>
              </m:r>
              <m:sSub>
                <m:sSubPr>
                  <m:ctrlPr>
                    <w:rPr>
                      <w:rFonts w:ascii="Cambria Math" w:hAnsi="Cambria Math" w:cs="Times New Roman"/>
                    </w:rPr>
                  </m:ctrlPr>
                </m:sSubPr>
                <m:e>
                  <m:r>
                    <m:rPr>
                      <m:sty m:val="p"/>
                    </m:rPr>
                    <w:rPr>
                      <w:rFonts w:ascii="Cambria Math" w:cs="Times New Roman"/>
                    </w:rPr>
                    <m:t>R</m:t>
                  </m:r>
                </m:e>
                <m:sub>
                  <m:r>
                    <m:rPr>
                      <m:sty m:val="p"/>
                    </m:rPr>
                    <w:rPr>
                      <w:rFonts w:ascii="Cambria Math" w:cs="Times New Roman"/>
                    </w:rPr>
                    <m:t>X</m:t>
                  </m:r>
                </m:sub>
              </m:sSub>
            </m:e>
          </m:d>
          <m:r>
            <m:rPr>
              <m:sty m:val="p"/>
            </m:rPr>
            <w:rPr>
              <w:rFonts w:ascii="Cambria Math"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cs="Times New Roman"/>
                    </w:rPr>
                    <m:t>w</m:t>
                  </m:r>
                </m:e>
                <m:sub>
                  <m:r>
                    <m:rPr>
                      <m:sty m:val="p"/>
                    </m:rPr>
                    <w:rPr>
                      <w:rFonts w:ascii="Cambria Math" w:cs="Times New Roman"/>
                    </w:rPr>
                    <m:t>Y</m:t>
                  </m:r>
                </m:sub>
              </m:sSub>
              <m:r>
                <m:rPr>
                  <m:sty m:val="p"/>
                </m:rPr>
                <w:rPr>
                  <w:rFonts w:ascii="Cambria Math" w:cs="Times New Roman"/>
                </w:rPr>
                <m:t>×</m:t>
              </m:r>
              <m:sSub>
                <m:sSubPr>
                  <m:ctrlPr>
                    <w:rPr>
                      <w:rFonts w:ascii="Cambria Math" w:hAnsi="Cambria Math" w:cs="Times New Roman"/>
                    </w:rPr>
                  </m:ctrlPr>
                </m:sSubPr>
                <m:e>
                  <m:r>
                    <m:rPr>
                      <m:sty m:val="p"/>
                    </m:rPr>
                    <w:rPr>
                      <w:rFonts w:ascii="Cambria Math" w:cs="Times New Roman"/>
                    </w:rPr>
                    <m:t>R</m:t>
                  </m:r>
                </m:e>
                <m:sub>
                  <m:r>
                    <m:rPr>
                      <m:sty m:val="p"/>
                    </m:rPr>
                    <w:rPr>
                      <w:rFonts w:ascii="Cambria Math" w:cs="Times New Roman"/>
                    </w:rPr>
                    <m:t>Y</m:t>
                  </m:r>
                </m:sub>
              </m:sSub>
            </m:e>
          </m:d>
        </m:oMath>
      </m:oMathPara>
    </w:p>
    <w:p w:rsidR="006F38B5" w:rsidRDefault="006F38B5" w:rsidP="006F38B5">
      <w:pPr>
        <w:pStyle w:val="BodyText"/>
        <w:spacing w:line="276" w:lineRule="auto"/>
        <w:jc w:val="both"/>
      </w:pPr>
    </w:p>
    <w:p w:rsidR="00510B0F" w:rsidRDefault="00510B0F" w:rsidP="006F38B5">
      <w:pPr>
        <w:pStyle w:val="BodyText"/>
        <w:spacing w:line="276" w:lineRule="auto"/>
        <w:jc w:val="both"/>
      </w:pPr>
    </w:p>
    <w:p w:rsidR="00510B0F" w:rsidRDefault="00510B0F" w:rsidP="006F38B5">
      <w:pPr>
        <w:pStyle w:val="BodyText"/>
        <w:spacing w:line="276" w:lineRule="auto"/>
        <w:jc w:val="both"/>
      </w:pPr>
    </w:p>
    <w:p w:rsidR="00510B0F" w:rsidRDefault="00510B0F" w:rsidP="006F38B5">
      <w:pPr>
        <w:pStyle w:val="BodyText"/>
        <w:spacing w:line="276" w:lineRule="auto"/>
        <w:jc w:val="both"/>
      </w:pPr>
    </w:p>
    <w:p w:rsidR="006F38B5" w:rsidRPr="006F38B5" w:rsidRDefault="006F38B5" w:rsidP="006F38B5">
      <w:pPr>
        <w:pStyle w:val="BodyText"/>
        <w:spacing w:line="276" w:lineRule="auto"/>
        <w:jc w:val="both"/>
        <w:rPr>
          <w:b/>
        </w:rPr>
      </w:pPr>
    </w:p>
    <w:p w:rsidR="006F38B5" w:rsidRPr="006F38B5" w:rsidRDefault="006F38B5" w:rsidP="006F38B5">
      <w:pPr>
        <w:pStyle w:val="BodyText"/>
        <w:spacing w:line="276" w:lineRule="auto"/>
        <w:jc w:val="both"/>
        <w:rPr>
          <w:b/>
        </w:rPr>
      </w:pPr>
      <w:r>
        <w:rPr>
          <w:b/>
        </w:rPr>
        <w:lastRenderedPageBreak/>
        <w:t>5a</w:t>
      </w:r>
      <w:proofErr w:type="gramStart"/>
      <w:r>
        <w:rPr>
          <w:b/>
        </w:rPr>
        <w:t>.</w:t>
      </w:r>
      <w:r w:rsidRPr="006F38B5">
        <w:rPr>
          <w:b/>
        </w:rPr>
        <w:t xml:space="preserve"> </w:t>
      </w:r>
      <w:r>
        <w:rPr>
          <w:b/>
        </w:rPr>
        <w:t xml:space="preserve"> </w:t>
      </w:r>
      <w:r w:rsidRPr="006F38B5">
        <w:rPr>
          <w:b/>
        </w:rPr>
        <w:t>Describe</w:t>
      </w:r>
      <w:proofErr w:type="gramEnd"/>
      <w:r w:rsidRPr="006F38B5">
        <w:rPr>
          <w:b/>
        </w:rPr>
        <w:t xml:space="preserve"> the meaning and benefits of mutual funds.</w:t>
      </w:r>
    </w:p>
    <w:p w:rsidR="006F38B5" w:rsidRPr="006F38B5" w:rsidRDefault="006F38B5" w:rsidP="006F38B5">
      <w:pPr>
        <w:pStyle w:val="BodyText"/>
        <w:spacing w:line="276" w:lineRule="auto"/>
        <w:jc w:val="both"/>
        <w:rPr>
          <w:b/>
        </w:rPr>
      </w:pPr>
      <w:r>
        <w:rPr>
          <w:b/>
        </w:rPr>
        <w:t xml:space="preserve">b. </w:t>
      </w:r>
      <w:r w:rsidRPr="006F38B5">
        <w:rPr>
          <w:b/>
        </w:rPr>
        <w:t>Discuss the role of arbitrage in the Arbitrage Pricing Theory (APT).</w:t>
      </w:r>
    </w:p>
    <w:p w:rsidR="006F38B5" w:rsidRDefault="006F38B5" w:rsidP="006F38B5">
      <w:pPr>
        <w:pStyle w:val="BodyText"/>
        <w:spacing w:line="276" w:lineRule="auto"/>
        <w:jc w:val="both"/>
        <w:rPr>
          <w:b/>
          <w:bCs/>
        </w:rPr>
      </w:pPr>
      <w:r>
        <w:rPr>
          <w:b/>
          <w:bCs/>
        </w:rPr>
        <w:t>Ans</w:t>
      </w:r>
      <w:r w:rsidRPr="006F38B5">
        <w:rPr>
          <w:b/>
          <w:bCs/>
        </w:rPr>
        <w:t xml:space="preserve"> 5: </w:t>
      </w:r>
    </w:p>
    <w:p w:rsidR="006F38B5" w:rsidRPr="006F38B5" w:rsidRDefault="006F38B5" w:rsidP="006F38B5">
      <w:pPr>
        <w:pStyle w:val="BodyText"/>
        <w:spacing w:line="276" w:lineRule="auto"/>
        <w:jc w:val="both"/>
        <w:rPr>
          <w:b/>
          <w:bCs/>
        </w:rPr>
      </w:pPr>
      <w:r>
        <w:rPr>
          <w:b/>
          <w:bCs/>
        </w:rPr>
        <w:t xml:space="preserve">a. </w:t>
      </w:r>
      <w:r w:rsidRPr="006F38B5">
        <w:rPr>
          <w:b/>
          <w:bCs/>
        </w:rPr>
        <w:t>Mutual Funds: Meaning and Benefits</w:t>
      </w:r>
    </w:p>
    <w:p w:rsidR="006F38B5" w:rsidRPr="006F38B5" w:rsidRDefault="006F38B5" w:rsidP="006F38B5">
      <w:pPr>
        <w:pStyle w:val="BodyText"/>
        <w:spacing w:line="276" w:lineRule="auto"/>
        <w:jc w:val="both"/>
      </w:pPr>
      <w:r w:rsidRPr="006F38B5">
        <w:t>Mutual funds are professionally managed investment vehicles that pool money from multiple investors to purchase a diversified portfolio of securities, such as stocks, bonds, or other assets. Managed by fund managers, mutual funds aim to achieve specific financial objectives, such as growth, income, or capital preservation, based on the fund's investment strategy. They are an attractive option for individual investors seeking exposure to a broad range of investments without requiring in-depth knowledge of the financial markets.</w:t>
      </w:r>
    </w:p>
    <w:p w:rsidR="006F38B5" w:rsidRDefault="006F38B5" w:rsidP="006F38B5">
      <w:pPr>
        <w:pStyle w:val="BodyText"/>
        <w:spacing w:line="276" w:lineRule="auto"/>
        <w:jc w:val="both"/>
        <w:rPr>
          <w:b/>
          <w:bCs/>
        </w:rPr>
      </w:pPr>
    </w:p>
    <w:p w:rsidR="00510B0F" w:rsidRDefault="00510B0F" w:rsidP="006F38B5">
      <w:pPr>
        <w:pStyle w:val="BodyText"/>
        <w:spacing w:line="276" w:lineRule="auto"/>
        <w:jc w:val="both"/>
        <w:rPr>
          <w:b/>
          <w:bCs/>
        </w:rPr>
      </w:pPr>
    </w:p>
    <w:p w:rsidR="006F38B5" w:rsidRPr="006F38B5" w:rsidRDefault="006F38B5" w:rsidP="006F38B5">
      <w:pPr>
        <w:pStyle w:val="BodyText"/>
        <w:spacing w:line="276" w:lineRule="auto"/>
        <w:jc w:val="both"/>
        <w:rPr>
          <w:b/>
          <w:bCs/>
        </w:rPr>
      </w:pPr>
      <w:r>
        <w:rPr>
          <w:b/>
          <w:bCs/>
        </w:rPr>
        <w:t xml:space="preserve">b. </w:t>
      </w:r>
      <w:r w:rsidRPr="006F38B5">
        <w:rPr>
          <w:b/>
          <w:bCs/>
        </w:rPr>
        <w:t>Arbitrage in Arbitrage Pricing Theory (APT)</w:t>
      </w:r>
    </w:p>
    <w:p w:rsidR="006F38B5" w:rsidRPr="006F38B5" w:rsidRDefault="006F38B5" w:rsidP="00510B0F">
      <w:pPr>
        <w:pStyle w:val="BodyText"/>
        <w:spacing w:line="276" w:lineRule="auto"/>
        <w:jc w:val="both"/>
      </w:pPr>
      <w:r w:rsidRPr="006F38B5">
        <w:t xml:space="preserve">Arbitrage Pricing Theory (APT) is an alternative to the Capital Asset Pricing Model (CAPM) that explains the relationship between the expected return of an asset and its risk factors. APT is based on the principle of arbitrage, where investors exploit price discrepancies in the market to earn risk-free profits. The theory assumes that an asset’s return is influenced by multiple </w:t>
      </w:r>
    </w:p>
    <w:p w:rsidR="006F38B5" w:rsidRDefault="006F38B5" w:rsidP="006F38B5">
      <w:pPr>
        <w:pStyle w:val="BodyText"/>
        <w:spacing w:line="276" w:lineRule="auto"/>
        <w:jc w:val="both"/>
      </w:pPr>
    </w:p>
    <w:p w:rsidR="006F38B5" w:rsidRPr="006F38B5" w:rsidRDefault="006F38B5" w:rsidP="006F38B5">
      <w:pPr>
        <w:pStyle w:val="BodyText"/>
        <w:spacing w:line="276" w:lineRule="auto"/>
        <w:jc w:val="both"/>
      </w:pPr>
    </w:p>
    <w:bookmarkEnd w:id="10"/>
    <w:bookmarkEnd w:id="12"/>
    <w:p w:rsidR="006F38B5" w:rsidRPr="006F38B5" w:rsidRDefault="006F38B5" w:rsidP="006F38B5">
      <w:pPr>
        <w:pStyle w:val="BodyText"/>
        <w:spacing w:line="276" w:lineRule="auto"/>
        <w:jc w:val="both"/>
        <w:rPr>
          <w:b/>
          <w:bCs/>
        </w:rPr>
      </w:pPr>
      <w:proofErr w:type="gramStart"/>
      <w:r>
        <w:rPr>
          <w:b/>
          <w:bCs/>
        </w:rPr>
        <w:t>6</w:t>
      </w:r>
      <w:r w:rsidRPr="006F38B5">
        <w:rPr>
          <w:b/>
          <w:bCs/>
        </w:rPr>
        <w:t>a) Distinguish between fundamental analysis and technical analysis.</w:t>
      </w:r>
      <w:proofErr w:type="gramEnd"/>
    </w:p>
    <w:p w:rsidR="006F38B5" w:rsidRDefault="006F38B5" w:rsidP="006F38B5">
      <w:pPr>
        <w:pStyle w:val="BodyText"/>
        <w:spacing w:line="276" w:lineRule="auto"/>
        <w:jc w:val="both"/>
        <w:rPr>
          <w:b/>
          <w:bCs/>
        </w:rPr>
      </w:pPr>
      <w:r w:rsidRPr="006F38B5">
        <w:rPr>
          <w:b/>
          <w:bCs/>
        </w:rPr>
        <w:t>b) What are the common mistakes made in investment management?</w:t>
      </w:r>
    </w:p>
    <w:p w:rsidR="006F38B5" w:rsidRDefault="006F38B5" w:rsidP="006F38B5">
      <w:pPr>
        <w:pStyle w:val="BodyText"/>
        <w:spacing w:line="276" w:lineRule="auto"/>
        <w:jc w:val="both"/>
        <w:rPr>
          <w:b/>
          <w:bCs/>
        </w:rPr>
      </w:pPr>
      <w:r>
        <w:rPr>
          <w:b/>
          <w:bCs/>
        </w:rPr>
        <w:t>Ans</w:t>
      </w:r>
      <w:r w:rsidRPr="006F38B5">
        <w:rPr>
          <w:b/>
          <w:bCs/>
        </w:rPr>
        <w:t xml:space="preserve"> 6: </w:t>
      </w:r>
    </w:p>
    <w:p w:rsidR="006F38B5" w:rsidRPr="006F38B5" w:rsidRDefault="006F38B5" w:rsidP="006F38B5">
      <w:pPr>
        <w:pStyle w:val="BodyText"/>
        <w:spacing w:line="276" w:lineRule="auto"/>
        <w:jc w:val="both"/>
        <w:rPr>
          <w:b/>
          <w:bCs/>
        </w:rPr>
      </w:pPr>
      <w:r w:rsidRPr="006F38B5">
        <w:rPr>
          <w:b/>
          <w:bCs/>
        </w:rPr>
        <w:t>Fundamental vs. Technical Analysis and Common Investment Mistakes</w:t>
      </w:r>
    </w:p>
    <w:p w:rsidR="006F38B5" w:rsidRPr="006F38B5" w:rsidRDefault="006F38B5" w:rsidP="006F38B5">
      <w:pPr>
        <w:pStyle w:val="BodyText"/>
        <w:spacing w:line="276" w:lineRule="auto"/>
        <w:jc w:val="both"/>
        <w:rPr>
          <w:b/>
          <w:bCs/>
        </w:rPr>
      </w:pPr>
      <w:r w:rsidRPr="006F38B5">
        <w:rPr>
          <w:b/>
          <w:bCs/>
        </w:rPr>
        <w:t>(a) Fundamental Analysis vs. Technical Analysis</w:t>
      </w:r>
    </w:p>
    <w:p w:rsidR="006F38B5" w:rsidRPr="006F38B5" w:rsidRDefault="006F38B5" w:rsidP="006F38B5">
      <w:pPr>
        <w:pStyle w:val="BodyText"/>
        <w:spacing w:line="276" w:lineRule="auto"/>
        <w:jc w:val="both"/>
      </w:pPr>
      <w:r w:rsidRPr="006F38B5">
        <w:t xml:space="preserve">Fundamental and technical </w:t>
      </w:r>
      <w:proofErr w:type="gramStart"/>
      <w:r w:rsidRPr="006F38B5">
        <w:t>analysis are</w:t>
      </w:r>
      <w:proofErr w:type="gramEnd"/>
      <w:r w:rsidRPr="006F38B5">
        <w:t xml:space="preserve"> two primary approaches to evaluating securities and making investment decisions. While both methods aim to guide investors in maximizing returns and minimizing risks, they differ significantly in their focus, methodology, and application.</w:t>
      </w:r>
    </w:p>
    <w:p w:rsidR="006F38B5" w:rsidRDefault="006F38B5" w:rsidP="00510B0F">
      <w:pPr>
        <w:pStyle w:val="BodyText"/>
        <w:spacing w:line="276" w:lineRule="auto"/>
        <w:jc w:val="both"/>
      </w:pPr>
      <w:r w:rsidRPr="006F38B5">
        <w:rPr>
          <w:b/>
          <w:bCs/>
        </w:rPr>
        <w:t>Fundamental Analysis:</w:t>
      </w:r>
      <w:r w:rsidRPr="006F38B5">
        <w:t xml:space="preserve"> Fundamental analysis involves assessing a company's intrinsic value by </w:t>
      </w:r>
    </w:p>
    <w:p w:rsidR="00510B0F" w:rsidRDefault="00510B0F" w:rsidP="00510B0F">
      <w:pPr>
        <w:pStyle w:val="BodyText"/>
        <w:spacing w:line="276" w:lineRule="auto"/>
        <w:jc w:val="both"/>
      </w:pPr>
    </w:p>
    <w:p w:rsidR="00510B0F" w:rsidRPr="006F38B5" w:rsidRDefault="00510B0F" w:rsidP="00510B0F">
      <w:pPr>
        <w:pStyle w:val="BodyText"/>
        <w:spacing w:line="276" w:lineRule="auto"/>
        <w:jc w:val="both"/>
      </w:pPr>
    </w:p>
    <w:p w:rsidR="006F38B5" w:rsidRPr="006F38B5" w:rsidRDefault="006F38B5" w:rsidP="006F38B5">
      <w:pPr>
        <w:pStyle w:val="BodyText"/>
        <w:spacing w:line="276" w:lineRule="auto"/>
        <w:jc w:val="both"/>
        <w:rPr>
          <w:b/>
          <w:bCs/>
        </w:rPr>
      </w:pPr>
      <w:r w:rsidRPr="006F38B5">
        <w:rPr>
          <w:b/>
          <w:bCs/>
        </w:rPr>
        <w:lastRenderedPageBreak/>
        <w:t>(b) Common Mistakes in Investment Management</w:t>
      </w:r>
    </w:p>
    <w:p w:rsidR="006F38B5" w:rsidRPr="006F38B5" w:rsidRDefault="006F38B5" w:rsidP="006F38B5">
      <w:pPr>
        <w:pStyle w:val="BodyText"/>
        <w:spacing w:line="276" w:lineRule="auto"/>
        <w:jc w:val="both"/>
      </w:pPr>
      <w:r w:rsidRPr="006F38B5">
        <w:t>Investment management involves making decisions about asset allocation, security selection, and portfolio monitoring. However, investors often make mistakes that undermine their financial goals.</w:t>
      </w:r>
    </w:p>
    <w:p w:rsidR="006F38B5" w:rsidRPr="006F38B5" w:rsidRDefault="006F38B5" w:rsidP="006F38B5">
      <w:pPr>
        <w:pStyle w:val="BodyText"/>
        <w:spacing w:line="276" w:lineRule="auto"/>
        <w:jc w:val="both"/>
      </w:pPr>
      <w:r w:rsidRPr="006F38B5">
        <w:rPr>
          <w:b/>
          <w:bCs/>
        </w:rPr>
        <w:t>1. Lack of Diversification:</w:t>
      </w:r>
      <w:r w:rsidRPr="006F38B5">
        <w:t xml:space="preserve"> Failing to diversify investments across asset classes, industries, or regions increases exposure to specific risks. Diversification spreads risk and minimizes the impact of poor performance in one area.</w:t>
      </w:r>
    </w:p>
    <w:p w:rsidR="006F38B5" w:rsidRPr="006F38B5" w:rsidRDefault="006F38B5" w:rsidP="00510B0F">
      <w:pPr>
        <w:pStyle w:val="BodyText"/>
        <w:spacing w:line="276" w:lineRule="auto"/>
        <w:jc w:val="both"/>
      </w:pPr>
      <w:r w:rsidRPr="006F38B5">
        <w:rPr>
          <w:b/>
          <w:bCs/>
        </w:rPr>
        <w:t>2. Emotional Decision-Making:</w:t>
      </w:r>
      <w:r w:rsidRPr="006F38B5">
        <w:t xml:space="preserve"> Investors often let emotions like fear or greed drive decisions, </w:t>
      </w:r>
    </w:p>
    <w:p w:rsidR="006F38B5" w:rsidRPr="006F38B5" w:rsidRDefault="006F38B5" w:rsidP="006F38B5">
      <w:pPr>
        <w:pStyle w:val="BodyText"/>
        <w:spacing w:line="276" w:lineRule="auto"/>
        <w:jc w:val="both"/>
      </w:pPr>
    </w:p>
    <w:bookmarkEnd w:id="7"/>
    <w:bookmarkEnd w:id="9"/>
    <w:p w:rsidR="006F38B5" w:rsidRPr="006F38B5" w:rsidRDefault="006F38B5" w:rsidP="006F38B5">
      <w:pPr>
        <w:pStyle w:val="BodyText"/>
        <w:spacing w:line="276" w:lineRule="auto"/>
        <w:jc w:val="both"/>
      </w:pPr>
    </w:p>
    <w:bookmarkEnd w:id="0"/>
    <w:bookmarkEnd w:id="3"/>
    <w:p w:rsidR="00D521CB" w:rsidRPr="006F38B5" w:rsidRDefault="00D521CB" w:rsidP="006F38B5">
      <w:pPr>
        <w:spacing w:line="276" w:lineRule="auto"/>
        <w:jc w:val="both"/>
        <w:rPr>
          <w:rFonts w:ascii="Times New Roman" w:hAnsi="Times New Roman" w:cs="Times New Roman"/>
        </w:rPr>
      </w:pPr>
    </w:p>
    <w:sectPr w:rsidR="00D521CB" w:rsidRPr="006F38B5" w:rsidSect="00B95D1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85B4EB4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37C8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A99202"/>
    <w:multiLevelType w:val="multilevel"/>
    <w:tmpl w:val="AB6CC1E0"/>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nsid w:val="00A99203"/>
    <w:multiLevelType w:val="multilevel"/>
    <w:tmpl w:val="5BFA1C8C"/>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4">
    <w:nsid w:val="036D10C9"/>
    <w:multiLevelType w:val="multilevel"/>
    <w:tmpl w:val="5260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860B6"/>
    <w:multiLevelType w:val="multilevel"/>
    <w:tmpl w:val="224894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27B744EC"/>
    <w:multiLevelType w:val="multilevel"/>
    <w:tmpl w:val="224894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352C2130"/>
    <w:multiLevelType w:val="multilevel"/>
    <w:tmpl w:val="C4D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77FA8"/>
    <w:multiLevelType w:val="multilevel"/>
    <w:tmpl w:val="374A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AF212F"/>
    <w:multiLevelType w:val="multilevel"/>
    <w:tmpl w:val="6BD2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81785"/>
    <w:multiLevelType w:val="multilevel"/>
    <w:tmpl w:val="224894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nsid w:val="52862A43"/>
    <w:multiLevelType w:val="multilevel"/>
    <w:tmpl w:val="303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540C7"/>
    <w:multiLevelType w:val="multilevel"/>
    <w:tmpl w:val="8AE8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93FA9"/>
    <w:multiLevelType w:val="multilevel"/>
    <w:tmpl w:val="224894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nsid w:val="7EF425FB"/>
    <w:multiLevelType w:val="multilevel"/>
    <w:tmpl w:val="9B5E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10"/>
  </w:num>
  <w:num w:numId="6">
    <w:abstractNumId w:val="5"/>
  </w:num>
  <w:num w:numId="7">
    <w:abstractNumId w:val="13"/>
  </w:num>
  <w:num w:numId="8">
    <w:abstractNumId w:val="6"/>
  </w:num>
  <w:num w:numId="9">
    <w:abstractNumId w:val="14"/>
  </w:num>
  <w:num w:numId="10">
    <w:abstractNumId w:val="8"/>
  </w:num>
  <w:num w:numId="11">
    <w:abstractNumId w:val="7"/>
  </w:num>
  <w:num w:numId="12">
    <w:abstractNumId w:val="11"/>
  </w:num>
  <w:num w:numId="13">
    <w:abstractNumId w:val="9"/>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6F38B5"/>
    <w:rsid w:val="002A706E"/>
    <w:rsid w:val="004405C7"/>
    <w:rsid w:val="00510B0F"/>
    <w:rsid w:val="00540C60"/>
    <w:rsid w:val="006F38B5"/>
    <w:rsid w:val="007268E0"/>
    <w:rsid w:val="00834AD9"/>
    <w:rsid w:val="008C68BC"/>
    <w:rsid w:val="00A71564"/>
    <w:rsid w:val="00C3129A"/>
    <w:rsid w:val="00C42FD7"/>
    <w:rsid w:val="00C474AB"/>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B5"/>
    <w:pPr>
      <w:spacing w:line="240" w:lineRule="auto"/>
    </w:pPr>
    <w:rPr>
      <w:sz w:val="24"/>
      <w:szCs w:val="24"/>
      <w:lang w:val="en-US"/>
    </w:rPr>
  </w:style>
  <w:style w:type="paragraph" w:styleId="Heading3">
    <w:name w:val="heading 3"/>
    <w:basedOn w:val="Normal"/>
    <w:next w:val="BodyText"/>
    <w:link w:val="Heading3Char"/>
    <w:uiPriority w:val="9"/>
    <w:unhideWhenUsed/>
    <w:qFormat/>
    <w:rsid w:val="006F38B5"/>
    <w:pPr>
      <w:keepNext/>
      <w:keepLines/>
      <w:spacing w:before="160" w:after="80"/>
      <w:outlineLvl w:val="2"/>
    </w:pPr>
    <w:rPr>
      <w:rFonts w:ascii="Times New Roman" w:eastAsiaTheme="majorEastAsia" w:hAnsi="Times New Roman" w:cstheme="majorBidi"/>
      <w:color w:val="365F91" w:themeColor="accent1" w:themeShade="BF"/>
      <w:sz w:val="28"/>
      <w:szCs w:val="28"/>
    </w:rPr>
  </w:style>
  <w:style w:type="paragraph" w:styleId="Heading4">
    <w:name w:val="heading 4"/>
    <w:basedOn w:val="Normal"/>
    <w:next w:val="BodyText"/>
    <w:link w:val="Heading4Char"/>
    <w:uiPriority w:val="9"/>
    <w:semiHidden/>
    <w:unhideWhenUsed/>
    <w:qFormat/>
    <w:rsid w:val="006F38B5"/>
    <w:pPr>
      <w:keepNext/>
      <w:keepLines/>
      <w:spacing w:before="80" w:after="40"/>
      <w:outlineLvl w:val="3"/>
    </w:pPr>
    <w:rPr>
      <w:rFonts w:ascii="Times New Roman" w:eastAsiaTheme="majorEastAsia" w:hAnsi="Times New Roman"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8B5"/>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F38B5"/>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F38B5"/>
    <w:pPr>
      <w:spacing w:before="180" w:after="180"/>
    </w:pPr>
    <w:rPr>
      <w:rFonts w:ascii="Times New Roman" w:hAnsi="Times New Roman"/>
    </w:rPr>
  </w:style>
  <w:style w:type="character" w:customStyle="1" w:styleId="BodyTextChar">
    <w:name w:val="Body Text Char"/>
    <w:basedOn w:val="DefaultParagraphFont"/>
    <w:link w:val="BodyText"/>
    <w:rsid w:val="006F38B5"/>
    <w:rPr>
      <w:rFonts w:ascii="Times New Roman" w:hAnsi="Times New Roman"/>
      <w:sz w:val="24"/>
      <w:szCs w:val="24"/>
      <w:lang w:val="en-US"/>
    </w:rPr>
  </w:style>
  <w:style w:type="paragraph" w:customStyle="1" w:styleId="FirstParagraph">
    <w:name w:val="First Paragraph"/>
    <w:basedOn w:val="BodyText"/>
    <w:next w:val="BodyText"/>
    <w:qFormat/>
    <w:rsid w:val="006F38B5"/>
  </w:style>
  <w:style w:type="paragraph" w:customStyle="1" w:styleId="Compact">
    <w:name w:val="Compact"/>
    <w:basedOn w:val="BodyText"/>
    <w:qFormat/>
    <w:rsid w:val="006F38B5"/>
    <w:pPr>
      <w:spacing w:before="36" w:after="36"/>
    </w:pPr>
  </w:style>
  <w:style w:type="paragraph" w:styleId="BalloonText">
    <w:name w:val="Balloon Text"/>
    <w:basedOn w:val="Normal"/>
    <w:link w:val="BalloonTextChar"/>
    <w:uiPriority w:val="99"/>
    <w:semiHidden/>
    <w:unhideWhenUsed/>
    <w:rsid w:val="006F38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8B5"/>
    <w:rPr>
      <w:rFonts w:ascii="Tahoma" w:hAnsi="Tahoma" w:cs="Tahoma"/>
      <w:sz w:val="16"/>
      <w:szCs w:val="16"/>
      <w:lang w:val="en-US"/>
    </w:rPr>
  </w:style>
  <w:style w:type="table" w:styleId="TableGrid">
    <w:name w:val="Table Grid"/>
    <w:basedOn w:val="TableNormal"/>
    <w:uiPriority w:val="59"/>
    <w:unhideWhenUsed/>
    <w:rsid w:val="006F3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0B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2090790">
      <w:bodyDiv w:val="1"/>
      <w:marLeft w:val="0"/>
      <w:marRight w:val="0"/>
      <w:marTop w:val="0"/>
      <w:marBottom w:val="0"/>
      <w:divBdr>
        <w:top w:val="none" w:sz="0" w:space="0" w:color="auto"/>
        <w:left w:val="none" w:sz="0" w:space="0" w:color="auto"/>
        <w:bottom w:val="none" w:sz="0" w:space="0" w:color="auto"/>
        <w:right w:val="none" w:sz="0" w:space="0" w:color="auto"/>
      </w:divBdr>
    </w:div>
    <w:div w:id="689720503">
      <w:bodyDiv w:val="1"/>
      <w:marLeft w:val="0"/>
      <w:marRight w:val="0"/>
      <w:marTop w:val="0"/>
      <w:marBottom w:val="0"/>
      <w:divBdr>
        <w:top w:val="none" w:sz="0" w:space="0" w:color="auto"/>
        <w:left w:val="none" w:sz="0" w:space="0" w:color="auto"/>
        <w:bottom w:val="none" w:sz="0" w:space="0" w:color="auto"/>
        <w:right w:val="none" w:sz="0" w:space="0" w:color="auto"/>
      </w:divBdr>
    </w:div>
    <w:div w:id="1057629223">
      <w:bodyDiv w:val="1"/>
      <w:marLeft w:val="0"/>
      <w:marRight w:val="0"/>
      <w:marTop w:val="0"/>
      <w:marBottom w:val="0"/>
      <w:divBdr>
        <w:top w:val="none" w:sz="0" w:space="0" w:color="auto"/>
        <w:left w:val="none" w:sz="0" w:space="0" w:color="auto"/>
        <w:bottom w:val="none" w:sz="0" w:space="0" w:color="auto"/>
        <w:right w:val="none" w:sz="0" w:space="0" w:color="auto"/>
      </w:divBdr>
    </w:div>
    <w:div w:id="18147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2024-11-30T17:36:00Z</dcterms:created>
  <dcterms:modified xsi:type="dcterms:W3CDTF">2024-11-30T21:58:00Z</dcterms:modified>
</cp:coreProperties>
</file>