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3504"/>
        <w:gridCol w:w="5512"/>
      </w:tblGrid>
      <w:tr w:rsidR="0092366A" w:rsidRPr="001B2A5A" w14:paraId="367AE277" w14:textId="77777777" w:rsidTr="001B2A5A">
        <w:tc>
          <w:tcPr>
            <w:tcW w:w="1943" w:type="pct"/>
          </w:tcPr>
          <w:p w14:paraId="663F87F3" w14:textId="550BEF80" w:rsidR="0092366A" w:rsidRPr="001B2A5A" w:rsidRDefault="001B2A5A" w:rsidP="001B2A5A">
            <w:pPr>
              <w:spacing w:line="360" w:lineRule="auto"/>
              <w:jc w:val="both"/>
              <w:rPr>
                <w:b/>
                <w:sz w:val="24"/>
                <w:szCs w:val="24"/>
              </w:rPr>
            </w:pPr>
            <w:r w:rsidRPr="001B2A5A">
              <w:rPr>
                <w:b/>
                <w:sz w:val="24"/>
                <w:szCs w:val="24"/>
              </w:rPr>
              <w:t>SESSION</w:t>
            </w:r>
          </w:p>
        </w:tc>
        <w:tc>
          <w:tcPr>
            <w:tcW w:w="3057" w:type="pct"/>
          </w:tcPr>
          <w:p w14:paraId="2E4F624D" w14:textId="64102331" w:rsidR="0092366A" w:rsidRPr="001B2A5A" w:rsidRDefault="001B2A5A" w:rsidP="001B2A5A">
            <w:pPr>
              <w:spacing w:line="360" w:lineRule="auto"/>
              <w:jc w:val="both"/>
              <w:rPr>
                <w:b/>
                <w:sz w:val="24"/>
                <w:szCs w:val="24"/>
              </w:rPr>
            </w:pPr>
            <w:r w:rsidRPr="001B2A5A">
              <w:rPr>
                <w:b/>
                <w:sz w:val="24"/>
                <w:szCs w:val="24"/>
              </w:rPr>
              <w:t>JULY-AUGUST 2024</w:t>
            </w:r>
          </w:p>
        </w:tc>
      </w:tr>
      <w:tr w:rsidR="0092366A" w:rsidRPr="001B2A5A" w14:paraId="3B8056A7" w14:textId="77777777" w:rsidTr="001B2A5A">
        <w:tc>
          <w:tcPr>
            <w:tcW w:w="1943" w:type="pct"/>
          </w:tcPr>
          <w:p w14:paraId="234EB571" w14:textId="0B34CB5F" w:rsidR="0092366A" w:rsidRPr="001B2A5A" w:rsidRDefault="001B2A5A" w:rsidP="001B2A5A">
            <w:pPr>
              <w:spacing w:line="360" w:lineRule="auto"/>
              <w:jc w:val="both"/>
              <w:rPr>
                <w:b/>
                <w:sz w:val="24"/>
                <w:szCs w:val="24"/>
              </w:rPr>
            </w:pPr>
            <w:r w:rsidRPr="001B2A5A">
              <w:rPr>
                <w:b/>
                <w:sz w:val="24"/>
                <w:szCs w:val="24"/>
              </w:rPr>
              <w:t>PROGRAM</w:t>
            </w:r>
          </w:p>
        </w:tc>
        <w:tc>
          <w:tcPr>
            <w:tcW w:w="3057" w:type="pct"/>
          </w:tcPr>
          <w:p w14:paraId="1D936B19" w14:textId="4EA63E52" w:rsidR="0092366A" w:rsidRPr="001B2A5A" w:rsidRDefault="001B2A5A" w:rsidP="001B2A5A">
            <w:pPr>
              <w:spacing w:line="360" w:lineRule="auto"/>
              <w:jc w:val="both"/>
              <w:rPr>
                <w:b/>
                <w:sz w:val="24"/>
                <w:szCs w:val="24"/>
              </w:rPr>
            </w:pPr>
            <w:r w:rsidRPr="001B2A5A">
              <w:rPr>
                <w:b/>
                <w:sz w:val="24"/>
                <w:szCs w:val="24"/>
              </w:rPr>
              <w:t>BACHELOR OF COMMERCE (B.COM)</w:t>
            </w:r>
          </w:p>
        </w:tc>
      </w:tr>
      <w:tr w:rsidR="0092366A" w:rsidRPr="001B2A5A" w14:paraId="0C88D92F" w14:textId="77777777" w:rsidTr="001B2A5A">
        <w:tc>
          <w:tcPr>
            <w:tcW w:w="1943" w:type="pct"/>
          </w:tcPr>
          <w:p w14:paraId="458923D4" w14:textId="6CA2D8B6" w:rsidR="0092366A" w:rsidRPr="001B2A5A" w:rsidRDefault="001B2A5A" w:rsidP="001B2A5A">
            <w:pPr>
              <w:spacing w:line="360" w:lineRule="auto"/>
              <w:jc w:val="both"/>
              <w:rPr>
                <w:b/>
                <w:sz w:val="24"/>
                <w:szCs w:val="24"/>
              </w:rPr>
            </w:pPr>
            <w:r w:rsidRPr="001B2A5A">
              <w:rPr>
                <w:b/>
                <w:sz w:val="24"/>
                <w:szCs w:val="24"/>
              </w:rPr>
              <w:t>SEMESTER</w:t>
            </w:r>
          </w:p>
        </w:tc>
        <w:tc>
          <w:tcPr>
            <w:tcW w:w="3057" w:type="pct"/>
          </w:tcPr>
          <w:p w14:paraId="393049B8" w14:textId="1C4A9164" w:rsidR="0092366A" w:rsidRPr="001B2A5A" w:rsidRDefault="001B2A5A" w:rsidP="001B2A5A">
            <w:pPr>
              <w:spacing w:line="360" w:lineRule="auto"/>
              <w:jc w:val="both"/>
              <w:rPr>
                <w:b/>
                <w:sz w:val="24"/>
                <w:szCs w:val="24"/>
              </w:rPr>
            </w:pPr>
            <w:r w:rsidRPr="001B2A5A">
              <w:rPr>
                <w:b/>
                <w:sz w:val="24"/>
                <w:szCs w:val="24"/>
              </w:rPr>
              <w:t>IV</w:t>
            </w:r>
          </w:p>
        </w:tc>
      </w:tr>
      <w:tr w:rsidR="0092366A" w:rsidRPr="001B2A5A" w14:paraId="426D39DD" w14:textId="77777777" w:rsidTr="001B2A5A">
        <w:tc>
          <w:tcPr>
            <w:tcW w:w="1943" w:type="pct"/>
          </w:tcPr>
          <w:p w14:paraId="7900A288" w14:textId="02518213" w:rsidR="0092366A" w:rsidRPr="001B2A5A" w:rsidRDefault="001B2A5A" w:rsidP="001B2A5A">
            <w:pPr>
              <w:spacing w:line="360" w:lineRule="auto"/>
              <w:jc w:val="both"/>
              <w:rPr>
                <w:b/>
                <w:sz w:val="24"/>
                <w:szCs w:val="24"/>
              </w:rPr>
            </w:pPr>
            <w:r w:rsidRPr="001B2A5A">
              <w:rPr>
                <w:b/>
                <w:sz w:val="24"/>
                <w:szCs w:val="24"/>
              </w:rPr>
              <w:t>COURSE CODE &amp; NAME</w:t>
            </w:r>
          </w:p>
        </w:tc>
        <w:tc>
          <w:tcPr>
            <w:tcW w:w="3057" w:type="pct"/>
          </w:tcPr>
          <w:p w14:paraId="28684008" w14:textId="746A570F" w:rsidR="0092366A" w:rsidRPr="001B2A5A" w:rsidRDefault="001B2A5A" w:rsidP="001B2A5A">
            <w:pPr>
              <w:spacing w:line="360" w:lineRule="auto"/>
              <w:jc w:val="both"/>
              <w:rPr>
                <w:b/>
                <w:sz w:val="24"/>
                <w:szCs w:val="24"/>
              </w:rPr>
            </w:pPr>
            <w:r w:rsidRPr="001B2A5A">
              <w:rPr>
                <w:b/>
                <w:sz w:val="24"/>
                <w:szCs w:val="24"/>
              </w:rPr>
              <w:t>DCM2201 INDIRECT TAXES</w:t>
            </w:r>
          </w:p>
        </w:tc>
      </w:tr>
      <w:tr w:rsidR="0092366A" w:rsidRPr="001B2A5A" w14:paraId="7C93004E" w14:textId="77777777" w:rsidTr="001B2A5A">
        <w:tc>
          <w:tcPr>
            <w:tcW w:w="1943" w:type="pct"/>
          </w:tcPr>
          <w:p w14:paraId="7351ADA5" w14:textId="3273D72C" w:rsidR="0092366A" w:rsidRPr="001B2A5A" w:rsidRDefault="0092366A" w:rsidP="001B2A5A">
            <w:pPr>
              <w:spacing w:line="360" w:lineRule="auto"/>
              <w:jc w:val="both"/>
              <w:rPr>
                <w:b/>
                <w:sz w:val="24"/>
                <w:szCs w:val="24"/>
              </w:rPr>
            </w:pPr>
          </w:p>
        </w:tc>
        <w:tc>
          <w:tcPr>
            <w:tcW w:w="3057" w:type="pct"/>
          </w:tcPr>
          <w:p w14:paraId="1F7F9565" w14:textId="470C0049" w:rsidR="0092366A" w:rsidRPr="001B2A5A" w:rsidRDefault="0092366A" w:rsidP="001B2A5A">
            <w:pPr>
              <w:spacing w:line="360" w:lineRule="auto"/>
              <w:jc w:val="both"/>
              <w:rPr>
                <w:b/>
                <w:sz w:val="24"/>
                <w:szCs w:val="24"/>
              </w:rPr>
            </w:pPr>
          </w:p>
        </w:tc>
      </w:tr>
      <w:tr w:rsidR="0092366A" w:rsidRPr="001B2A5A" w14:paraId="214908F9" w14:textId="77777777" w:rsidTr="001B2A5A">
        <w:tc>
          <w:tcPr>
            <w:tcW w:w="1943" w:type="pct"/>
          </w:tcPr>
          <w:p w14:paraId="2E7FAE84" w14:textId="5ED11669" w:rsidR="0092366A" w:rsidRPr="001B2A5A" w:rsidRDefault="0092366A" w:rsidP="001B2A5A">
            <w:pPr>
              <w:spacing w:line="360" w:lineRule="auto"/>
              <w:jc w:val="both"/>
              <w:rPr>
                <w:b/>
                <w:sz w:val="24"/>
                <w:szCs w:val="24"/>
              </w:rPr>
            </w:pPr>
          </w:p>
        </w:tc>
        <w:tc>
          <w:tcPr>
            <w:tcW w:w="3057" w:type="pct"/>
          </w:tcPr>
          <w:p w14:paraId="64F4E02D" w14:textId="211286FB" w:rsidR="0092366A" w:rsidRPr="001B2A5A" w:rsidRDefault="0092366A" w:rsidP="001B2A5A">
            <w:pPr>
              <w:spacing w:line="360" w:lineRule="auto"/>
              <w:jc w:val="both"/>
              <w:rPr>
                <w:b/>
                <w:sz w:val="24"/>
                <w:szCs w:val="24"/>
              </w:rPr>
            </w:pPr>
          </w:p>
        </w:tc>
      </w:tr>
    </w:tbl>
    <w:p w14:paraId="647B7BEF" w14:textId="53FB95E1" w:rsidR="00551EFE" w:rsidRPr="001B2A5A" w:rsidRDefault="00551EFE" w:rsidP="001B2A5A">
      <w:pPr>
        <w:spacing w:line="360" w:lineRule="auto"/>
        <w:jc w:val="both"/>
        <w:rPr>
          <w:rFonts w:ascii="Times New Roman" w:hAnsi="Times New Roman" w:cs="Times New Roman"/>
          <w:b/>
          <w:sz w:val="24"/>
          <w:szCs w:val="24"/>
        </w:rPr>
      </w:pPr>
    </w:p>
    <w:p w14:paraId="75B1B9C4" w14:textId="3E309D06" w:rsidR="001B2A5A" w:rsidRPr="001B2A5A" w:rsidRDefault="001B2A5A" w:rsidP="001B2A5A">
      <w:pPr>
        <w:spacing w:line="360" w:lineRule="auto"/>
        <w:jc w:val="center"/>
        <w:rPr>
          <w:rFonts w:ascii="Times New Roman" w:hAnsi="Times New Roman" w:cs="Times New Roman"/>
          <w:b/>
          <w:sz w:val="24"/>
          <w:szCs w:val="24"/>
        </w:rPr>
      </w:pPr>
    </w:p>
    <w:p w14:paraId="6A04BCBA" w14:textId="78D2D73F" w:rsidR="001B2A5A" w:rsidRPr="001B2A5A" w:rsidRDefault="001B2A5A" w:rsidP="001B2A5A">
      <w:pPr>
        <w:spacing w:line="360" w:lineRule="auto"/>
        <w:jc w:val="center"/>
        <w:rPr>
          <w:rFonts w:ascii="Times New Roman" w:hAnsi="Times New Roman" w:cs="Times New Roman"/>
          <w:b/>
          <w:sz w:val="24"/>
          <w:szCs w:val="24"/>
        </w:rPr>
      </w:pPr>
      <w:r w:rsidRPr="001B2A5A">
        <w:rPr>
          <w:rFonts w:ascii="Times New Roman" w:hAnsi="Times New Roman" w:cs="Times New Roman"/>
          <w:b/>
          <w:sz w:val="24"/>
          <w:szCs w:val="24"/>
        </w:rPr>
        <w:t>Set – 1</w:t>
      </w:r>
    </w:p>
    <w:p w14:paraId="4B98735D" w14:textId="328E8AC8" w:rsidR="001B2A5A" w:rsidRPr="001B2A5A" w:rsidRDefault="001B2A5A" w:rsidP="001B2A5A">
      <w:pPr>
        <w:spacing w:line="360" w:lineRule="auto"/>
        <w:jc w:val="both"/>
        <w:rPr>
          <w:rFonts w:ascii="Times New Roman" w:hAnsi="Times New Roman" w:cs="Times New Roman"/>
          <w:b/>
          <w:sz w:val="24"/>
          <w:szCs w:val="24"/>
        </w:rPr>
      </w:pPr>
    </w:p>
    <w:p w14:paraId="216EE5E3" w14:textId="2F818E8E" w:rsidR="001B2A5A" w:rsidRPr="001B2A5A" w:rsidRDefault="001B2A5A" w:rsidP="001B2A5A">
      <w:pPr>
        <w:spacing w:line="360" w:lineRule="auto"/>
        <w:jc w:val="both"/>
        <w:rPr>
          <w:rFonts w:ascii="Times New Roman" w:hAnsi="Times New Roman" w:cs="Times New Roman"/>
          <w:b/>
          <w:sz w:val="24"/>
          <w:szCs w:val="24"/>
        </w:rPr>
      </w:pPr>
      <w:r w:rsidRPr="001B2A5A">
        <w:rPr>
          <w:rFonts w:ascii="Times New Roman" w:hAnsi="Times New Roman" w:cs="Times New Roman"/>
          <w:b/>
          <w:sz w:val="24"/>
          <w:szCs w:val="24"/>
        </w:rPr>
        <w:t>1. Explain the provisions of time of supply in case of goods under forward charge and reverse charge with example.</w:t>
      </w:r>
    </w:p>
    <w:p w14:paraId="09F8E676" w14:textId="0E96F8D4" w:rsidR="001B2A5A" w:rsidRPr="001B2A5A" w:rsidRDefault="001B2A5A" w:rsidP="001B2A5A">
      <w:pPr>
        <w:spacing w:line="360" w:lineRule="auto"/>
        <w:jc w:val="both"/>
        <w:rPr>
          <w:rFonts w:ascii="Times New Roman" w:hAnsi="Times New Roman" w:cs="Times New Roman"/>
          <w:b/>
          <w:bCs/>
          <w:sz w:val="24"/>
          <w:szCs w:val="24"/>
        </w:rPr>
      </w:pPr>
      <w:r w:rsidRPr="001B2A5A">
        <w:rPr>
          <w:rFonts w:ascii="Times New Roman" w:hAnsi="Times New Roman" w:cs="Times New Roman"/>
          <w:b/>
          <w:bCs/>
          <w:sz w:val="24"/>
          <w:szCs w:val="24"/>
        </w:rPr>
        <w:t>Ans 1.</w:t>
      </w:r>
    </w:p>
    <w:p w14:paraId="5142DBDE" w14:textId="6DC3C211" w:rsidR="001B2A5A" w:rsidRPr="001B2A5A" w:rsidRDefault="001B2A5A" w:rsidP="001B2A5A">
      <w:pPr>
        <w:spacing w:line="360" w:lineRule="auto"/>
        <w:jc w:val="both"/>
        <w:rPr>
          <w:rFonts w:ascii="Times New Roman" w:hAnsi="Times New Roman" w:cs="Times New Roman"/>
          <w:b/>
          <w:bCs/>
          <w:sz w:val="24"/>
          <w:szCs w:val="24"/>
        </w:rPr>
      </w:pPr>
      <w:r w:rsidRPr="001B2A5A">
        <w:rPr>
          <w:rFonts w:ascii="Times New Roman" w:hAnsi="Times New Roman" w:cs="Times New Roman"/>
          <w:b/>
          <w:bCs/>
          <w:sz w:val="24"/>
          <w:szCs w:val="24"/>
        </w:rPr>
        <w:t>Provisions of Time of Supply in Case of Goods under Forward Charge and Reverse Charge</w:t>
      </w:r>
    </w:p>
    <w:p w14:paraId="640B08DA" w14:textId="083BE67B" w:rsidR="001B2A5A" w:rsidRPr="001B2A5A" w:rsidRDefault="001B2A5A" w:rsidP="001B2A5A">
      <w:pPr>
        <w:spacing w:line="360" w:lineRule="auto"/>
        <w:jc w:val="both"/>
        <w:rPr>
          <w:rFonts w:ascii="Times New Roman" w:hAnsi="Times New Roman" w:cs="Times New Roman"/>
          <w:sz w:val="24"/>
          <w:szCs w:val="24"/>
        </w:rPr>
      </w:pPr>
      <w:r w:rsidRPr="001B2A5A">
        <w:rPr>
          <w:rFonts w:ascii="Times New Roman" w:hAnsi="Times New Roman" w:cs="Times New Roman"/>
          <w:sz w:val="24"/>
          <w:szCs w:val="24"/>
        </w:rPr>
        <w:t xml:space="preserve">The concept of </w:t>
      </w:r>
      <w:r w:rsidRPr="001B2A5A">
        <w:rPr>
          <w:rFonts w:ascii="Times New Roman" w:hAnsi="Times New Roman" w:cs="Times New Roman"/>
          <w:b/>
          <w:bCs/>
          <w:sz w:val="24"/>
          <w:szCs w:val="24"/>
        </w:rPr>
        <w:t>time of supply</w:t>
      </w:r>
      <w:r w:rsidRPr="001B2A5A">
        <w:rPr>
          <w:rFonts w:ascii="Times New Roman" w:hAnsi="Times New Roman" w:cs="Times New Roman"/>
          <w:sz w:val="24"/>
          <w:szCs w:val="24"/>
        </w:rPr>
        <w:t xml:space="preserve"> is fundamental under the Goods and Services Tax (GST) system in India as it determines when the liability to pay tax arises. The rules differ based on whether the supply is subject to forward charge or reverse charge.</w:t>
      </w:r>
    </w:p>
    <w:p w14:paraId="165F8850" w14:textId="77777777" w:rsidR="001B2A5A" w:rsidRPr="001B2A5A" w:rsidRDefault="001B2A5A" w:rsidP="001B2A5A">
      <w:pPr>
        <w:spacing w:line="360" w:lineRule="auto"/>
        <w:jc w:val="both"/>
        <w:rPr>
          <w:rFonts w:ascii="Times New Roman" w:hAnsi="Times New Roman" w:cs="Times New Roman"/>
          <w:b/>
          <w:bCs/>
          <w:sz w:val="24"/>
          <w:szCs w:val="24"/>
        </w:rPr>
      </w:pPr>
      <w:r w:rsidRPr="001B2A5A">
        <w:rPr>
          <w:rFonts w:ascii="Times New Roman" w:hAnsi="Times New Roman" w:cs="Times New Roman"/>
          <w:b/>
          <w:bCs/>
          <w:sz w:val="24"/>
          <w:szCs w:val="24"/>
        </w:rPr>
        <w:t>Time of Supply under Forward Charge</w:t>
      </w:r>
    </w:p>
    <w:p w14:paraId="79C7E1D1" w14:textId="6F8E4BE3" w:rsidR="001B2A5A" w:rsidRDefault="001B2A5A" w:rsidP="00E41EB3">
      <w:pPr>
        <w:spacing w:line="360" w:lineRule="auto"/>
        <w:jc w:val="both"/>
        <w:rPr>
          <w:rFonts w:ascii="Times New Roman" w:hAnsi="Times New Roman" w:cs="Times New Roman"/>
          <w:sz w:val="24"/>
          <w:szCs w:val="24"/>
        </w:rPr>
      </w:pPr>
      <w:r w:rsidRPr="001B2A5A">
        <w:rPr>
          <w:rFonts w:ascii="Times New Roman" w:hAnsi="Times New Roman" w:cs="Times New Roman"/>
          <w:sz w:val="24"/>
          <w:szCs w:val="24"/>
        </w:rPr>
        <w:t xml:space="preserve">Under the forward charge mechanism, the supplier is responsible for collecting and remitting GST to the government. The time of supply for goods under forward charge is governed by </w:t>
      </w:r>
    </w:p>
    <w:p w14:paraId="11DCA2B6" w14:textId="77777777" w:rsidR="00E41EB3" w:rsidRDefault="00E41EB3" w:rsidP="00E41EB3">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585ACDE6" w14:textId="77777777" w:rsidR="00E41EB3" w:rsidRDefault="00E41EB3" w:rsidP="00E41EB3">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2E99C9B9" w14:textId="77777777" w:rsidR="00E41EB3" w:rsidRDefault="00E41EB3" w:rsidP="00E41EB3">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5CDC7787" w14:textId="77777777" w:rsidR="00E41EB3" w:rsidRDefault="00E41EB3" w:rsidP="00E41EB3">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10E24E29" w14:textId="77777777" w:rsidR="00E41EB3" w:rsidRDefault="00E41EB3" w:rsidP="00E41EB3">
      <w:pPr>
        <w:spacing w:before="240" w:after="240"/>
        <w:jc w:val="center"/>
        <w:rPr>
          <w:rFonts w:ascii="Georgia" w:hAnsi="Georgia"/>
          <w:sz w:val="32"/>
          <w:szCs w:val="32"/>
        </w:rPr>
      </w:pPr>
      <w:r>
        <w:rPr>
          <w:rFonts w:ascii="Georgia" w:hAnsi="Georgia"/>
          <w:sz w:val="32"/>
          <w:szCs w:val="32"/>
        </w:rPr>
        <w:t>buy cheap assignment help online from us easily</w:t>
      </w:r>
    </w:p>
    <w:p w14:paraId="54DD45BF" w14:textId="77777777" w:rsidR="00E41EB3" w:rsidRDefault="00E41EB3" w:rsidP="00E41EB3">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47C99BD5" w14:textId="77777777" w:rsidR="00E41EB3" w:rsidRDefault="00E41EB3" w:rsidP="00E41EB3">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C6C265A" w14:textId="77777777" w:rsidR="00E41EB3" w:rsidRDefault="00E41EB3" w:rsidP="00E41EB3">
      <w:pPr>
        <w:spacing w:before="240" w:after="240"/>
        <w:jc w:val="center"/>
        <w:rPr>
          <w:rFonts w:ascii="Georgia" w:hAnsi="Georgia"/>
          <w:b/>
          <w:sz w:val="32"/>
          <w:szCs w:val="32"/>
        </w:rPr>
      </w:pPr>
      <w:r>
        <w:rPr>
          <w:rFonts w:ascii="Georgia" w:hAnsi="Georgia"/>
          <w:b/>
          <w:sz w:val="32"/>
          <w:szCs w:val="32"/>
        </w:rPr>
        <w:t>OR</w:t>
      </w:r>
    </w:p>
    <w:p w14:paraId="7C081AB7" w14:textId="77777777" w:rsidR="00E41EB3" w:rsidRDefault="00E41EB3" w:rsidP="00E41EB3">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5DF5DE62" w14:textId="77777777" w:rsidR="00E41EB3" w:rsidRDefault="00E41EB3" w:rsidP="00E41EB3">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41023009" w14:textId="0BF9AAC1" w:rsidR="00E41EB3" w:rsidRDefault="00E41EB3" w:rsidP="00E41EB3">
      <w:pPr>
        <w:spacing w:line="360" w:lineRule="auto"/>
        <w:jc w:val="both"/>
        <w:rPr>
          <w:rFonts w:ascii="Times New Roman" w:hAnsi="Times New Roman" w:cs="Times New Roman"/>
          <w:sz w:val="24"/>
          <w:szCs w:val="24"/>
        </w:rPr>
      </w:pPr>
    </w:p>
    <w:p w14:paraId="04186DA8" w14:textId="38337AB5" w:rsidR="00E41EB3" w:rsidRDefault="00E41EB3" w:rsidP="00E41EB3">
      <w:pPr>
        <w:spacing w:line="360" w:lineRule="auto"/>
        <w:jc w:val="both"/>
        <w:rPr>
          <w:rFonts w:ascii="Times New Roman" w:hAnsi="Times New Roman" w:cs="Times New Roman"/>
          <w:sz w:val="24"/>
          <w:szCs w:val="24"/>
        </w:rPr>
      </w:pPr>
    </w:p>
    <w:p w14:paraId="29F73FD5" w14:textId="77777777" w:rsidR="00E41EB3" w:rsidRPr="001B2A5A" w:rsidRDefault="00E41EB3" w:rsidP="00E41EB3">
      <w:pPr>
        <w:spacing w:line="360" w:lineRule="auto"/>
        <w:jc w:val="both"/>
        <w:rPr>
          <w:rFonts w:ascii="Times New Roman" w:hAnsi="Times New Roman" w:cs="Times New Roman"/>
          <w:sz w:val="24"/>
          <w:szCs w:val="24"/>
        </w:rPr>
      </w:pPr>
    </w:p>
    <w:p w14:paraId="3A41AD41" w14:textId="7D34A61C" w:rsidR="001B2A5A" w:rsidRPr="001B2A5A" w:rsidRDefault="001B2A5A" w:rsidP="001B2A5A">
      <w:pPr>
        <w:spacing w:line="360" w:lineRule="auto"/>
        <w:jc w:val="both"/>
        <w:rPr>
          <w:rFonts w:ascii="Times New Roman" w:hAnsi="Times New Roman" w:cs="Times New Roman"/>
          <w:b/>
          <w:sz w:val="24"/>
          <w:szCs w:val="24"/>
        </w:rPr>
      </w:pPr>
      <w:r w:rsidRPr="001B2A5A">
        <w:rPr>
          <w:rFonts w:ascii="Times New Roman" w:hAnsi="Times New Roman" w:cs="Times New Roman"/>
          <w:b/>
          <w:sz w:val="24"/>
          <w:szCs w:val="24"/>
        </w:rPr>
        <w:t xml:space="preserve">2. (a) Discuss the pre -GST regime of Indirect Tax Structure? </w:t>
      </w:r>
    </w:p>
    <w:p w14:paraId="439C2259" w14:textId="11998AD2" w:rsidR="001B2A5A" w:rsidRPr="001B2A5A" w:rsidRDefault="001B2A5A" w:rsidP="001B2A5A">
      <w:pPr>
        <w:spacing w:line="360" w:lineRule="auto"/>
        <w:jc w:val="both"/>
        <w:rPr>
          <w:rFonts w:ascii="Times New Roman" w:hAnsi="Times New Roman" w:cs="Times New Roman"/>
          <w:b/>
          <w:sz w:val="24"/>
          <w:szCs w:val="24"/>
        </w:rPr>
      </w:pPr>
      <w:r w:rsidRPr="001B2A5A">
        <w:rPr>
          <w:rFonts w:ascii="Times New Roman" w:hAnsi="Times New Roman" w:cs="Times New Roman"/>
          <w:b/>
          <w:sz w:val="24"/>
          <w:szCs w:val="24"/>
        </w:rPr>
        <w:t>(b)  A ltd is a manufacture of sweets and namkeens supplied in a package consisting of Gulab Jamun (GST 18 %), Agra Sweets (GST 9%), Bhujiya (12%) all together for Rs. 500 (exclusive of taxes). 18000 No. of packages were supplied by the company to its dealers. From the above-mentioned information determine nature of supply and tax liability.</w:t>
      </w:r>
    </w:p>
    <w:p w14:paraId="4A6F618C" w14:textId="641DE91B" w:rsidR="001B2A5A" w:rsidRPr="001B2A5A" w:rsidRDefault="001B2A5A" w:rsidP="001B2A5A">
      <w:pPr>
        <w:spacing w:line="360" w:lineRule="auto"/>
        <w:jc w:val="both"/>
        <w:rPr>
          <w:rFonts w:ascii="Times New Roman" w:hAnsi="Times New Roman" w:cs="Times New Roman"/>
          <w:b/>
          <w:sz w:val="24"/>
          <w:szCs w:val="24"/>
        </w:rPr>
      </w:pPr>
      <w:r w:rsidRPr="001B2A5A">
        <w:rPr>
          <w:rFonts w:ascii="Times New Roman" w:hAnsi="Times New Roman" w:cs="Times New Roman"/>
          <w:b/>
          <w:sz w:val="24"/>
          <w:szCs w:val="24"/>
        </w:rPr>
        <w:t>Ans 2.</w:t>
      </w:r>
    </w:p>
    <w:p w14:paraId="5E791211" w14:textId="6FA7B275" w:rsidR="001B2A5A" w:rsidRPr="0062759D" w:rsidRDefault="001B2A5A" w:rsidP="001B2A5A">
      <w:pPr>
        <w:pStyle w:val="Heading3"/>
        <w:spacing w:line="360" w:lineRule="auto"/>
        <w:jc w:val="both"/>
        <w:rPr>
          <w:rFonts w:ascii="Times New Roman" w:hAnsi="Times New Roman" w:cs="Times New Roman"/>
          <w:sz w:val="24"/>
          <w:szCs w:val="24"/>
        </w:rPr>
      </w:pPr>
      <w:bookmarkStart w:id="0" w:name="X14123ee933096a71af4cee607b5a8f34fe48b8a"/>
      <w:r w:rsidRPr="0062759D">
        <w:rPr>
          <w:rFonts w:ascii="Times New Roman" w:hAnsi="Times New Roman" w:cs="Times New Roman"/>
          <w:sz w:val="24"/>
          <w:szCs w:val="24"/>
        </w:rPr>
        <w:t>a</w:t>
      </w:r>
      <w:r>
        <w:rPr>
          <w:rFonts w:ascii="Times New Roman" w:hAnsi="Times New Roman" w:cs="Times New Roman"/>
          <w:sz w:val="24"/>
          <w:szCs w:val="24"/>
        </w:rPr>
        <w:t>.</w:t>
      </w:r>
      <w:r w:rsidRPr="0062759D">
        <w:rPr>
          <w:rFonts w:ascii="Times New Roman" w:hAnsi="Times New Roman" w:cs="Times New Roman"/>
          <w:sz w:val="24"/>
          <w:szCs w:val="24"/>
        </w:rPr>
        <w:t xml:space="preserve"> Pre-GST Regime of Indirect Tax Structure</w:t>
      </w:r>
    </w:p>
    <w:p w14:paraId="65B6FD0D" w14:textId="77777777" w:rsidR="001B2A5A" w:rsidRPr="0062759D" w:rsidRDefault="001B2A5A" w:rsidP="001B2A5A">
      <w:pPr>
        <w:pStyle w:val="FirstParagraph"/>
        <w:spacing w:line="360" w:lineRule="auto"/>
        <w:jc w:val="both"/>
        <w:rPr>
          <w:rFonts w:cs="Times New Roman"/>
        </w:rPr>
      </w:pPr>
      <w:r w:rsidRPr="0062759D">
        <w:rPr>
          <w:rFonts w:cs="Times New Roman"/>
        </w:rPr>
        <w:t>Before the implementation of the Goods and Services Tax (GST) in India, the indirect tax structure was complex and characterized by multiple layers of taxation at both the central and state levels. Different taxes were levied on goods and services, leading to cascading effects and compliance challenges.</w:t>
      </w:r>
    </w:p>
    <w:p w14:paraId="1763D4F2" w14:textId="3C6131D7" w:rsidR="001B2A5A" w:rsidRPr="0062759D" w:rsidRDefault="001B2A5A" w:rsidP="00E41EB3">
      <w:pPr>
        <w:pStyle w:val="BodyText"/>
        <w:spacing w:line="360" w:lineRule="auto"/>
        <w:jc w:val="both"/>
        <w:rPr>
          <w:rFonts w:cs="Times New Roman"/>
        </w:rPr>
      </w:pPr>
      <w:r w:rsidRPr="001B2A5A">
        <w:rPr>
          <w:rFonts w:cs="Times New Roman"/>
        </w:rPr>
        <w:t xml:space="preserve">At the central level, major taxes included </w:t>
      </w:r>
      <w:r w:rsidRPr="001B2A5A">
        <w:rPr>
          <w:rFonts w:cs="Times New Roman"/>
          <w:bCs/>
        </w:rPr>
        <w:t>Central Excise Duty</w:t>
      </w:r>
      <w:r w:rsidRPr="001B2A5A">
        <w:rPr>
          <w:rFonts w:cs="Times New Roman"/>
        </w:rPr>
        <w:t xml:space="preserve">, </w:t>
      </w:r>
      <w:r w:rsidRPr="001B2A5A">
        <w:rPr>
          <w:rFonts w:cs="Times New Roman"/>
          <w:bCs/>
        </w:rPr>
        <w:t>Service Tax</w:t>
      </w:r>
      <w:r w:rsidRPr="001B2A5A">
        <w:rPr>
          <w:rFonts w:cs="Times New Roman"/>
        </w:rPr>
        <w:t xml:space="preserve">, and </w:t>
      </w:r>
      <w:r w:rsidRPr="001B2A5A">
        <w:rPr>
          <w:rFonts w:cs="Times New Roman"/>
          <w:bCs/>
        </w:rPr>
        <w:t>Customs Duty</w:t>
      </w:r>
      <w:r w:rsidRPr="001B2A5A">
        <w:rPr>
          <w:rFonts w:cs="Times New Roman"/>
        </w:rPr>
        <w:t xml:space="preserve">. </w:t>
      </w:r>
      <w:bookmarkStart w:id="1" w:name="Xa652edc7aaf4f0eff36e7ab1044fb3c83d8a85c"/>
      <w:bookmarkStart w:id="2" w:name="summary-in-table"/>
      <w:bookmarkEnd w:id="0"/>
    </w:p>
    <w:bookmarkEnd w:id="1"/>
    <w:bookmarkEnd w:id="2"/>
    <w:p w14:paraId="0B7339B2" w14:textId="77777777" w:rsidR="001B2A5A" w:rsidRPr="001B2A5A" w:rsidRDefault="001B2A5A" w:rsidP="001B2A5A">
      <w:pPr>
        <w:spacing w:line="360" w:lineRule="auto"/>
        <w:jc w:val="both"/>
        <w:rPr>
          <w:rFonts w:ascii="Times New Roman" w:hAnsi="Times New Roman" w:cs="Times New Roman"/>
          <w:sz w:val="24"/>
          <w:szCs w:val="24"/>
        </w:rPr>
      </w:pPr>
    </w:p>
    <w:p w14:paraId="32918D6A" w14:textId="01BF5640" w:rsidR="001B2A5A" w:rsidRPr="005B4F67" w:rsidRDefault="001B2A5A" w:rsidP="001B2A5A">
      <w:pPr>
        <w:spacing w:line="360" w:lineRule="auto"/>
        <w:jc w:val="both"/>
        <w:rPr>
          <w:rFonts w:ascii="Times New Roman" w:hAnsi="Times New Roman" w:cs="Times New Roman"/>
          <w:b/>
          <w:sz w:val="24"/>
          <w:szCs w:val="24"/>
        </w:rPr>
      </w:pPr>
      <w:r w:rsidRPr="005B4F67">
        <w:rPr>
          <w:rFonts w:ascii="Times New Roman" w:hAnsi="Times New Roman" w:cs="Times New Roman"/>
          <w:b/>
          <w:sz w:val="24"/>
          <w:szCs w:val="24"/>
        </w:rPr>
        <w:t>3.(a) Explain the conditions for a person to be eligible for composition scheme.</w:t>
      </w:r>
    </w:p>
    <w:p w14:paraId="14EAFB45" w14:textId="77777777" w:rsidR="001B2A5A" w:rsidRPr="005B4F67" w:rsidRDefault="001B2A5A" w:rsidP="001B2A5A">
      <w:pPr>
        <w:spacing w:line="360" w:lineRule="auto"/>
        <w:jc w:val="both"/>
        <w:rPr>
          <w:rFonts w:ascii="Times New Roman" w:hAnsi="Times New Roman" w:cs="Times New Roman"/>
          <w:b/>
          <w:sz w:val="24"/>
          <w:szCs w:val="24"/>
        </w:rPr>
      </w:pPr>
      <w:r w:rsidRPr="005B4F67">
        <w:rPr>
          <w:rFonts w:ascii="Times New Roman" w:hAnsi="Times New Roman" w:cs="Times New Roman"/>
          <w:b/>
          <w:sz w:val="24"/>
          <w:szCs w:val="24"/>
        </w:rPr>
        <w:t>(b) Mr. Vinay is a registered trader under GST located in Bikaner, Rajasthan, India. He has opted for composition scheme for the F.Y. 2023-24. Details of supplies including inward supplies taxable under reverse charge basis as follows:</w:t>
      </w:r>
    </w:p>
    <w:tbl>
      <w:tblPr>
        <w:tblStyle w:val="TableGrid"/>
        <w:tblW w:w="5000" w:type="pct"/>
        <w:tblLook w:val="04A0" w:firstRow="1" w:lastRow="0" w:firstColumn="1" w:lastColumn="0" w:noHBand="0" w:noVBand="1"/>
      </w:tblPr>
      <w:tblGrid>
        <w:gridCol w:w="7110"/>
        <w:gridCol w:w="1906"/>
      </w:tblGrid>
      <w:tr w:rsidR="001B2A5A" w:rsidRPr="005B4F67" w14:paraId="37594E5C" w14:textId="77777777" w:rsidTr="001B2A5A">
        <w:tc>
          <w:tcPr>
            <w:tcW w:w="3943" w:type="pct"/>
          </w:tcPr>
          <w:p w14:paraId="15B63ECA" w14:textId="77777777" w:rsidR="001B2A5A" w:rsidRPr="005B4F67" w:rsidRDefault="001B2A5A" w:rsidP="001B2A5A">
            <w:pPr>
              <w:spacing w:line="360" w:lineRule="auto"/>
              <w:jc w:val="both"/>
              <w:rPr>
                <w:rFonts w:eastAsia="Arial"/>
                <w:b/>
                <w:sz w:val="24"/>
                <w:szCs w:val="24"/>
              </w:rPr>
            </w:pPr>
            <w:r w:rsidRPr="005B4F67">
              <w:rPr>
                <w:rFonts w:eastAsia="Arial"/>
                <w:b/>
                <w:sz w:val="24"/>
                <w:szCs w:val="24"/>
              </w:rPr>
              <w:t>Particulars</w:t>
            </w:r>
          </w:p>
        </w:tc>
        <w:tc>
          <w:tcPr>
            <w:tcW w:w="1057" w:type="pct"/>
          </w:tcPr>
          <w:p w14:paraId="0B93921E" w14:textId="77777777" w:rsidR="001B2A5A" w:rsidRPr="005B4F67" w:rsidRDefault="001B2A5A" w:rsidP="001B2A5A">
            <w:pPr>
              <w:spacing w:line="360" w:lineRule="auto"/>
              <w:jc w:val="both"/>
              <w:rPr>
                <w:rFonts w:eastAsia="Arial"/>
                <w:b/>
                <w:sz w:val="24"/>
                <w:szCs w:val="24"/>
              </w:rPr>
            </w:pPr>
            <w:r w:rsidRPr="005B4F67">
              <w:rPr>
                <w:rFonts w:eastAsia="Arial"/>
                <w:b/>
                <w:sz w:val="24"/>
                <w:szCs w:val="24"/>
              </w:rPr>
              <w:t>Amount</w:t>
            </w:r>
          </w:p>
        </w:tc>
      </w:tr>
      <w:tr w:rsidR="001B2A5A" w:rsidRPr="005B4F67" w14:paraId="7CC19A36" w14:textId="77777777" w:rsidTr="001B2A5A">
        <w:tc>
          <w:tcPr>
            <w:tcW w:w="3943" w:type="pct"/>
          </w:tcPr>
          <w:p w14:paraId="781FE181" w14:textId="77777777" w:rsidR="001B2A5A" w:rsidRPr="005B4F67" w:rsidRDefault="001B2A5A" w:rsidP="001B2A5A">
            <w:pPr>
              <w:spacing w:line="360" w:lineRule="auto"/>
              <w:jc w:val="both"/>
              <w:rPr>
                <w:rFonts w:eastAsia="Arial"/>
                <w:b/>
                <w:sz w:val="24"/>
                <w:szCs w:val="24"/>
              </w:rPr>
            </w:pPr>
            <w:r w:rsidRPr="005B4F67">
              <w:rPr>
                <w:rFonts w:eastAsia="Arial"/>
                <w:b/>
                <w:sz w:val="24"/>
                <w:szCs w:val="24"/>
              </w:rPr>
              <w:t>Intra state supplies of market chargeable @18% GST</w:t>
            </w:r>
          </w:p>
        </w:tc>
        <w:tc>
          <w:tcPr>
            <w:tcW w:w="1057" w:type="pct"/>
          </w:tcPr>
          <w:p w14:paraId="7A1B1A01" w14:textId="77777777" w:rsidR="001B2A5A" w:rsidRPr="005B4F67" w:rsidRDefault="001B2A5A" w:rsidP="001B2A5A">
            <w:pPr>
              <w:spacing w:line="360" w:lineRule="auto"/>
              <w:jc w:val="both"/>
              <w:rPr>
                <w:rFonts w:eastAsia="Arial"/>
                <w:b/>
                <w:sz w:val="24"/>
                <w:szCs w:val="24"/>
              </w:rPr>
            </w:pPr>
            <w:r w:rsidRPr="005B4F67">
              <w:rPr>
                <w:rFonts w:eastAsia="Arial"/>
                <w:b/>
                <w:sz w:val="24"/>
                <w:szCs w:val="24"/>
              </w:rPr>
              <w:t>10,00,000</w:t>
            </w:r>
          </w:p>
        </w:tc>
      </w:tr>
      <w:tr w:rsidR="001B2A5A" w:rsidRPr="005B4F67" w14:paraId="4781ACA7" w14:textId="77777777" w:rsidTr="001B2A5A">
        <w:tc>
          <w:tcPr>
            <w:tcW w:w="3943" w:type="pct"/>
          </w:tcPr>
          <w:p w14:paraId="2A460194" w14:textId="77777777" w:rsidR="001B2A5A" w:rsidRPr="005B4F67" w:rsidRDefault="001B2A5A" w:rsidP="001B2A5A">
            <w:pPr>
              <w:spacing w:line="360" w:lineRule="auto"/>
              <w:jc w:val="both"/>
              <w:rPr>
                <w:rFonts w:eastAsia="Arial"/>
                <w:b/>
                <w:sz w:val="24"/>
                <w:szCs w:val="24"/>
              </w:rPr>
            </w:pPr>
            <w:r w:rsidRPr="005B4F67">
              <w:rPr>
                <w:rFonts w:eastAsia="Arial"/>
                <w:b/>
                <w:sz w:val="24"/>
                <w:szCs w:val="24"/>
              </w:rPr>
              <w:t>Intra State supplies made which are chargeable to GST at nil rate</w:t>
            </w:r>
          </w:p>
        </w:tc>
        <w:tc>
          <w:tcPr>
            <w:tcW w:w="1057" w:type="pct"/>
          </w:tcPr>
          <w:p w14:paraId="5AB75D43" w14:textId="77777777" w:rsidR="001B2A5A" w:rsidRPr="005B4F67" w:rsidRDefault="001B2A5A" w:rsidP="001B2A5A">
            <w:pPr>
              <w:spacing w:line="360" w:lineRule="auto"/>
              <w:jc w:val="both"/>
              <w:rPr>
                <w:rFonts w:eastAsia="Arial"/>
                <w:b/>
                <w:sz w:val="24"/>
                <w:szCs w:val="24"/>
              </w:rPr>
            </w:pPr>
            <w:r w:rsidRPr="005B4F67">
              <w:rPr>
                <w:rFonts w:eastAsia="Arial"/>
                <w:b/>
                <w:sz w:val="24"/>
                <w:szCs w:val="24"/>
              </w:rPr>
              <w:t>45,00,000</w:t>
            </w:r>
          </w:p>
        </w:tc>
      </w:tr>
      <w:tr w:rsidR="001B2A5A" w:rsidRPr="005B4F67" w14:paraId="58D55C14" w14:textId="77777777" w:rsidTr="001B2A5A">
        <w:tc>
          <w:tcPr>
            <w:tcW w:w="3943" w:type="pct"/>
          </w:tcPr>
          <w:p w14:paraId="54C9704A" w14:textId="77777777" w:rsidR="001B2A5A" w:rsidRPr="005B4F67" w:rsidRDefault="001B2A5A" w:rsidP="001B2A5A">
            <w:pPr>
              <w:spacing w:line="360" w:lineRule="auto"/>
              <w:jc w:val="both"/>
              <w:rPr>
                <w:rFonts w:eastAsia="Arial"/>
                <w:b/>
                <w:sz w:val="24"/>
                <w:szCs w:val="24"/>
              </w:rPr>
            </w:pPr>
            <w:r w:rsidRPr="005B4F67">
              <w:rPr>
                <w:rFonts w:eastAsia="Arial"/>
                <w:b/>
                <w:sz w:val="24"/>
                <w:szCs w:val="24"/>
              </w:rPr>
              <w:t>Intra state supplies of computer parts chargeable @28 % GST</w:t>
            </w:r>
          </w:p>
        </w:tc>
        <w:tc>
          <w:tcPr>
            <w:tcW w:w="1057" w:type="pct"/>
          </w:tcPr>
          <w:p w14:paraId="4EE596C1" w14:textId="77777777" w:rsidR="001B2A5A" w:rsidRPr="005B4F67" w:rsidRDefault="001B2A5A" w:rsidP="001B2A5A">
            <w:pPr>
              <w:spacing w:line="360" w:lineRule="auto"/>
              <w:jc w:val="both"/>
              <w:rPr>
                <w:rFonts w:eastAsia="Arial"/>
                <w:b/>
                <w:sz w:val="24"/>
                <w:szCs w:val="24"/>
              </w:rPr>
            </w:pPr>
            <w:r w:rsidRPr="005B4F67">
              <w:rPr>
                <w:rFonts w:eastAsia="Arial"/>
                <w:b/>
                <w:sz w:val="24"/>
                <w:szCs w:val="24"/>
              </w:rPr>
              <w:t>25,00,000</w:t>
            </w:r>
          </w:p>
        </w:tc>
      </w:tr>
      <w:tr w:rsidR="001B2A5A" w:rsidRPr="005B4F67" w14:paraId="478710A8" w14:textId="77777777" w:rsidTr="001B2A5A">
        <w:tc>
          <w:tcPr>
            <w:tcW w:w="3943" w:type="pct"/>
          </w:tcPr>
          <w:p w14:paraId="0C3A4FAC" w14:textId="77777777" w:rsidR="001B2A5A" w:rsidRPr="005B4F67" w:rsidRDefault="001B2A5A" w:rsidP="001B2A5A">
            <w:pPr>
              <w:spacing w:line="360" w:lineRule="auto"/>
              <w:jc w:val="both"/>
              <w:rPr>
                <w:rFonts w:eastAsia="Arial"/>
                <w:b/>
                <w:sz w:val="24"/>
                <w:szCs w:val="24"/>
              </w:rPr>
            </w:pPr>
            <w:r w:rsidRPr="005B4F67">
              <w:rPr>
                <w:rFonts w:eastAsia="Arial"/>
                <w:b/>
                <w:sz w:val="24"/>
                <w:szCs w:val="24"/>
              </w:rPr>
              <w:t>Value of inward supplies on which tax is payable under RCM (GST @ 28 %)</w:t>
            </w:r>
          </w:p>
        </w:tc>
        <w:tc>
          <w:tcPr>
            <w:tcW w:w="1057" w:type="pct"/>
          </w:tcPr>
          <w:p w14:paraId="340F3C3F" w14:textId="77777777" w:rsidR="001B2A5A" w:rsidRPr="005B4F67" w:rsidRDefault="001B2A5A" w:rsidP="001B2A5A">
            <w:pPr>
              <w:spacing w:line="360" w:lineRule="auto"/>
              <w:jc w:val="both"/>
              <w:rPr>
                <w:rFonts w:eastAsia="Arial"/>
                <w:b/>
                <w:sz w:val="24"/>
                <w:szCs w:val="24"/>
              </w:rPr>
            </w:pPr>
            <w:r w:rsidRPr="005B4F67">
              <w:rPr>
                <w:rFonts w:eastAsia="Arial"/>
                <w:b/>
                <w:sz w:val="24"/>
                <w:szCs w:val="24"/>
              </w:rPr>
              <w:t>25,00,000</w:t>
            </w:r>
          </w:p>
        </w:tc>
      </w:tr>
      <w:tr w:rsidR="001B2A5A" w:rsidRPr="005B4F67" w14:paraId="2DBA9CCF" w14:textId="77777777" w:rsidTr="001B2A5A">
        <w:tc>
          <w:tcPr>
            <w:tcW w:w="3943" w:type="pct"/>
          </w:tcPr>
          <w:p w14:paraId="2396D9B8" w14:textId="77777777" w:rsidR="001B2A5A" w:rsidRPr="005B4F67" w:rsidRDefault="001B2A5A" w:rsidP="001B2A5A">
            <w:pPr>
              <w:spacing w:line="360" w:lineRule="auto"/>
              <w:jc w:val="both"/>
              <w:rPr>
                <w:rFonts w:eastAsia="Arial"/>
                <w:b/>
                <w:sz w:val="24"/>
                <w:szCs w:val="24"/>
              </w:rPr>
            </w:pPr>
            <w:r w:rsidRPr="005B4F67">
              <w:rPr>
                <w:rFonts w:eastAsia="Arial"/>
                <w:b/>
                <w:sz w:val="24"/>
                <w:szCs w:val="24"/>
              </w:rPr>
              <w:t>Intra State supplies which are wholly exempt from GST</w:t>
            </w:r>
          </w:p>
        </w:tc>
        <w:tc>
          <w:tcPr>
            <w:tcW w:w="1057" w:type="pct"/>
          </w:tcPr>
          <w:p w14:paraId="6D2B35C4" w14:textId="77777777" w:rsidR="001B2A5A" w:rsidRPr="005B4F67" w:rsidRDefault="001B2A5A" w:rsidP="001B2A5A">
            <w:pPr>
              <w:spacing w:line="360" w:lineRule="auto"/>
              <w:jc w:val="both"/>
              <w:rPr>
                <w:rFonts w:eastAsia="Arial"/>
                <w:b/>
                <w:sz w:val="24"/>
                <w:szCs w:val="24"/>
              </w:rPr>
            </w:pPr>
            <w:r w:rsidRPr="005B4F67">
              <w:rPr>
                <w:rFonts w:eastAsia="Arial"/>
                <w:b/>
                <w:sz w:val="24"/>
                <w:szCs w:val="24"/>
              </w:rPr>
              <w:t>11,50,000</w:t>
            </w:r>
          </w:p>
        </w:tc>
      </w:tr>
    </w:tbl>
    <w:p w14:paraId="0D88B2A7" w14:textId="77777777" w:rsidR="001B2A5A" w:rsidRPr="005B4F67" w:rsidRDefault="001B2A5A" w:rsidP="001B2A5A">
      <w:pPr>
        <w:spacing w:line="360" w:lineRule="auto"/>
        <w:jc w:val="both"/>
        <w:rPr>
          <w:rFonts w:ascii="Times New Roman" w:hAnsi="Times New Roman" w:cs="Times New Roman"/>
          <w:b/>
          <w:sz w:val="24"/>
          <w:szCs w:val="24"/>
        </w:rPr>
      </w:pPr>
    </w:p>
    <w:p w14:paraId="3F623543" w14:textId="140CBAB0" w:rsidR="001B2A5A" w:rsidRPr="005B4F67" w:rsidRDefault="001B2A5A" w:rsidP="001B2A5A">
      <w:pPr>
        <w:spacing w:line="360" w:lineRule="auto"/>
        <w:jc w:val="both"/>
        <w:rPr>
          <w:rFonts w:ascii="Times New Roman" w:hAnsi="Times New Roman" w:cs="Times New Roman"/>
          <w:b/>
          <w:sz w:val="24"/>
          <w:szCs w:val="24"/>
        </w:rPr>
      </w:pPr>
      <w:r w:rsidRPr="005B4F67">
        <w:rPr>
          <w:rFonts w:ascii="Times New Roman" w:hAnsi="Times New Roman" w:cs="Times New Roman"/>
          <w:b/>
          <w:sz w:val="24"/>
          <w:szCs w:val="24"/>
        </w:rPr>
        <w:t>Determine GST payable by Mr. Vinay.</w:t>
      </w:r>
    </w:p>
    <w:p w14:paraId="4762BD64" w14:textId="0727C1C2" w:rsidR="005B4F67" w:rsidRDefault="005B4F67" w:rsidP="001B2A5A">
      <w:pPr>
        <w:spacing w:line="360" w:lineRule="auto"/>
        <w:jc w:val="both"/>
        <w:rPr>
          <w:rFonts w:ascii="Times New Roman" w:hAnsi="Times New Roman" w:cs="Times New Roman"/>
          <w:b/>
          <w:sz w:val="24"/>
          <w:szCs w:val="24"/>
        </w:rPr>
      </w:pPr>
      <w:r w:rsidRPr="005B4F67">
        <w:rPr>
          <w:rFonts w:ascii="Times New Roman" w:hAnsi="Times New Roman" w:cs="Times New Roman"/>
          <w:b/>
          <w:sz w:val="24"/>
          <w:szCs w:val="24"/>
        </w:rPr>
        <w:t xml:space="preserve">Ans 3. </w:t>
      </w:r>
    </w:p>
    <w:p w14:paraId="3A17878E" w14:textId="25662443" w:rsidR="005B4F67" w:rsidRPr="00551DC1" w:rsidRDefault="005B4F67" w:rsidP="005B4F67">
      <w:pPr>
        <w:pStyle w:val="Heading3"/>
        <w:spacing w:line="360" w:lineRule="auto"/>
        <w:jc w:val="both"/>
        <w:rPr>
          <w:rFonts w:ascii="Times New Roman" w:hAnsi="Times New Roman" w:cs="Times New Roman"/>
          <w:sz w:val="24"/>
          <w:szCs w:val="24"/>
        </w:rPr>
      </w:pPr>
      <w:bookmarkStart w:id="3" w:name="X4b920b76674220a78523ad4e064b7e48ff03693"/>
      <w:r w:rsidRPr="00551DC1">
        <w:rPr>
          <w:rFonts w:ascii="Times New Roman" w:hAnsi="Times New Roman" w:cs="Times New Roman"/>
          <w:sz w:val="24"/>
          <w:szCs w:val="24"/>
        </w:rPr>
        <w:t xml:space="preserve"> (a) Conditions for a Person to Be Eligible for the Composition Scheme</w:t>
      </w:r>
    </w:p>
    <w:p w14:paraId="33B83651" w14:textId="77777777" w:rsidR="005B4F67" w:rsidRPr="00551DC1" w:rsidRDefault="005B4F67" w:rsidP="005B4F67">
      <w:pPr>
        <w:pStyle w:val="FirstParagraph"/>
        <w:spacing w:line="360" w:lineRule="auto"/>
        <w:jc w:val="both"/>
        <w:rPr>
          <w:rFonts w:cs="Times New Roman"/>
        </w:rPr>
      </w:pPr>
      <w:r w:rsidRPr="00551DC1">
        <w:rPr>
          <w:rFonts w:cs="Times New Roman"/>
        </w:rPr>
        <w:t>The composition scheme under GST is designed to simplify tax compliance for small taxpayers. The following conditions must be met to opt for the scheme:</w:t>
      </w:r>
    </w:p>
    <w:p w14:paraId="3D089233" w14:textId="77777777" w:rsidR="005B4F67" w:rsidRPr="00551DC1" w:rsidRDefault="005B4F67" w:rsidP="005B4F67">
      <w:pPr>
        <w:spacing w:after="200" w:line="360" w:lineRule="auto"/>
        <w:jc w:val="both"/>
        <w:rPr>
          <w:rFonts w:ascii="Times New Roman" w:hAnsi="Times New Roman" w:cs="Times New Roman"/>
          <w:sz w:val="24"/>
          <w:szCs w:val="24"/>
        </w:rPr>
      </w:pPr>
      <w:r w:rsidRPr="00551DC1">
        <w:rPr>
          <w:rFonts w:ascii="Times New Roman" w:hAnsi="Times New Roman" w:cs="Times New Roman"/>
          <w:b/>
          <w:bCs/>
          <w:sz w:val="24"/>
          <w:szCs w:val="24"/>
        </w:rPr>
        <w:t>Turnover Limit</w:t>
      </w:r>
      <w:r w:rsidRPr="00551DC1">
        <w:rPr>
          <w:rFonts w:ascii="Times New Roman" w:hAnsi="Times New Roman" w:cs="Times New Roman"/>
          <w:sz w:val="24"/>
          <w:szCs w:val="24"/>
        </w:rPr>
        <w:t>:</w:t>
      </w:r>
      <w:r w:rsidRPr="00551DC1">
        <w:rPr>
          <w:rFonts w:ascii="Times New Roman" w:hAnsi="Times New Roman" w:cs="Times New Roman"/>
        </w:rPr>
        <w:t xml:space="preserve"> </w:t>
      </w:r>
      <w:r w:rsidRPr="00551DC1">
        <w:rPr>
          <w:rFonts w:ascii="Times New Roman" w:hAnsi="Times New Roman" w:cs="Times New Roman"/>
          <w:sz w:val="24"/>
          <w:szCs w:val="24"/>
        </w:rPr>
        <w:t>The aggregate turnover of the taxpayer should not exceed ₹1.5 crore in the preceding financial year. For certain states in the northeastern region and Himachal Pradesh, the limit is ₹75 lakh.</w:t>
      </w:r>
    </w:p>
    <w:p w14:paraId="30AB1F60" w14:textId="77C1CF95" w:rsidR="005B4F67" w:rsidRPr="00551DC1" w:rsidRDefault="005B4F67" w:rsidP="00E41EB3">
      <w:pPr>
        <w:spacing w:after="200" w:line="360" w:lineRule="auto"/>
        <w:jc w:val="both"/>
        <w:rPr>
          <w:rFonts w:cs="Times New Roman"/>
        </w:rPr>
      </w:pPr>
      <w:r w:rsidRPr="00551DC1">
        <w:rPr>
          <w:rFonts w:ascii="Times New Roman" w:hAnsi="Times New Roman" w:cs="Times New Roman"/>
          <w:b/>
          <w:bCs/>
          <w:sz w:val="24"/>
          <w:szCs w:val="24"/>
        </w:rPr>
        <w:t>Eligible Businesses</w:t>
      </w:r>
      <w:r w:rsidRPr="00551DC1">
        <w:rPr>
          <w:rFonts w:ascii="Times New Roman" w:hAnsi="Times New Roman" w:cs="Times New Roman"/>
          <w:sz w:val="24"/>
          <w:szCs w:val="24"/>
        </w:rPr>
        <w:t>:</w:t>
      </w:r>
      <w:r w:rsidRPr="00551DC1">
        <w:rPr>
          <w:rFonts w:ascii="Times New Roman" w:hAnsi="Times New Roman" w:cs="Times New Roman"/>
        </w:rPr>
        <w:t xml:space="preserve"> </w:t>
      </w:r>
      <w:r w:rsidRPr="00551DC1">
        <w:rPr>
          <w:rFonts w:ascii="Times New Roman" w:hAnsi="Times New Roman" w:cs="Times New Roman"/>
          <w:sz w:val="24"/>
          <w:szCs w:val="24"/>
        </w:rPr>
        <w:t xml:space="preserve">The scheme is available for manufacturers of goods, traders, and specified </w:t>
      </w:r>
      <w:bookmarkStart w:id="4" w:name="final-gst-liability"/>
      <w:bookmarkEnd w:id="3"/>
    </w:p>
    <w:bookmarkEnd w:id="4"/>
    <w:p w14:paraId="0ED6342A" w14:textId="4A9BD924" w:rsidR="001B2A5A" w:rsidRDefault="001B2A5A" w:rsidP="001B2A5A">
      <w:pPr>
        <w:spacing w:line="360" w:lineRule="auto"/>
        <w:jc w:val="both"/>
        <w:rPr>
          <w:rFonts w:ascii="Times New Roman" w:hAnsi="Times New Roman" w:cs="Times New Roman"/>
          <w:sz w:val="24"/>
          <w:szCs w:val="24"/>
        </w:rPr>
      </w:pPr>
    </w:p>
    <w:p w14:paraId="57E62885" w14:textId="77777777" w:rsidR="001B2A5A" w:rsidRPr="001B2A5A" w:rsidRDefault="001B2A5A" w:rsidP="005B4F67">
      <w:pPr>
        <w:spacing w:line="360" w:lineRule="auto"/>
        <w:jc w:val="center"/>
        <w:rPr>
          <w:rFonts w:ascii="Times New Roman" w:hAnsi="Times New Roman" w:cs="Times New Roman"/>
          <w:sz w:val="24"/>
          <w:szCs w:val="24"/>
        </w:rPr>
      </w:pPr>
    </w:p>
    <w:p w14:paraId="417664A2" w14:textId="640FC047" w:rsidR="001B2A5A" w:rsidRPr="005B4F67" w:rsidRDefault="001B2A5A" w:rsidP="005B4F67">
      <w:pPr>
        <w:spacing w:line="360" w:lineRule="auto"/>
        <w:jc w:val="center"/>
        <w:rPr>
          <w:rFonts w:ascii="Times New Roman" w:hAnsi="Times New Roman" w:cs="Times New Roman"/>
          <w:b/>
          <w:sz w:val="24"/>
          <w:szCs w:val="24"/>
        </w:rPr>
      </w:pPr>
      <w:r w:rsidRPr="005B4F67">
        <w:rPr>
          <w:rFonts w:ascii="Times New Roman" w:hAnsi="Times New Roman" w:cs="Times New Roman"/>
          <w:b/>
          <w:sz w:val="24"/>
          <w:szCs w:val="24"/>
        </w:rPr>
        <w:t>Set – 2</w:t>
      </w:r>
    </w:p>
    <w:p w14:paraId="4B5054C9" w14:textId="0CA91DAB" w:rsidR="001B2A5A" w:rsidRDefault="001B2A5A" w:rsidP="001B2A5A">
      <w:pPr>
        <w:spacing w:line="360" w:lineRule="auto"/>
        <w:jc w:val="both"/>
        <w:rPr>
          <w:rFonts w:ascii="Times New Roman" w:hAnsi="Times New Roman" w:cs="Times New Roman"/>
          <w:b/>
          <w:sz w:val="24"/>
          <w:szCs w:val="24"/>
        </w:rPr>
      </w:pPr>
    </w:p>
    <w:p w14:paraId="4EE3ED4E" w14:textId="77777777" w:rsidR="005B4F67" w:rsidRPr="005B4F67" w:rsidRDefault="005B4F67" w:rsidP="001B2A5A">
      <w:pPr>
        <w:spacing w:line="360" w:lineRule="auto"/>
        <w:jc w:val="both"/>
        <w:rPr>
          <w:rFonts w:ascii="Times New Roman" w:hAnsi="Times New Roman" w:cs="Times New Roman"/>
          <w:b/>
          <w:sz w:val="24"/>
          <w:szCs w:val="24"/>
        </w:rPr>
      </w:pPr>
    </w:p>
    <w:p w14:paraId="76315B48" w14:textId="076D88D2" w:rsidR="001B2A5A" w:rsidRPr="005B4F67" w:rsidRDefault="001B2A5A" w:rsidP="001B2A5A">
      <w:pPr>
        <w:spacing w:line="360" w:lineRule="auto"/>
        <w:jc w:val="both"/>
        <w:rPr>
          <w:rFonts w:ascii="Times New Roman" w:hAnsi="Times New Roman" w:cs="Times New Roman"/>
          <w:b/>
          <w:sz w:val="24"/>
          <w:szCs w:val="24"/>
        </w:rPr>
      </w:pPr>
      <w:r w:rsidRPr="005B4F67">
        <w:rPr>
          <w:rFonts w:ascii="Times New Roman" w:hAnsi="Times New Roman" w:cs="Times New Roman"/>
          <w:b/>
          <w:sz w:val="24"/>
          <w:szCs w:val="24"/>
        </w:rPr>
        <w:t>4. Explain the concept of “Taxable Person”? Discuss with reference to section 22 and 24 of CGST Act 2017.</w:t>
      </w:r>
    </w:p>
    <w:p w14:paraId="55B309B0" w14:textId="40F185DC" w:rsidR="005B4F67" w:rsidRPr="005B4F67" w:rsidRDefault="005B4F67" w:rsidP="005B4F67">
      <w:pPr>
        <w:spacing w:line="360" w:lineRule="auto"/>
        <w:jc w:val="both"/>
        <w:rPr>
          <w:rFonts w:ascii="Times New Roman" w:hAnsi="Times New Roman" w:cs="Times New Roman"/>
          <w:b/>
          <w:bCs/>
          <w:sz w:val="24"/>
          <w:szCs w:val="24"/>
        </w:rPr>
      </w:pPr>
      <w:r w:rsidRPr="005B4F67">
        <w:rPr>
          <w:rFonts w:ascii="Times New Roman" w:hAnsi="Times New Roman" w:cs="Times New Roman"/>
          <w:b/>
          <w:bCs/>
          <w:sz w:val="24"/>
          <w:szCs w:val="24"/>
        </w:rPr>
        <w:t>Ans 4.</w:t>
      </w:r>
    </w:p>
    <w:p w14:paraId="6411A02E" w14:textId="2F5B1EA2" w:rsidR="005B4F67" w:rsidRPr="005B4F67" w:rsidRDefault="005B4F67" w:rsidP="005B4F67">
      <w:pPr>
        <w:spacing w:line="360" w:lineRule="auto"/>
        <w:jc w:val="both"/>
        <w:rPr>
          <w:rFonts w:ascii="Times New Roman" w:hAnsi="Times New Roman" w:cs="Times New Roman"/>
          <w:b/>
          <w:bCs/>
          <w:sz w:val="24"/>
          <w:szCs w:val="24"/>
        </w:rPr>
      </w:pPr>
      <w:r w:rsidRPr="005B4F67">
        <w:rPr>
          <w:rFonts w:ascii="Times New Roman" w:hAnsi="Times New Roman" w:cs="Times New Roman"/>
          <w:b/>
          <w:bCs/>
          <w:sz w:val="24"/>
          <w:szCs w:val="24"/>
        </w:rPr>
        <w:t>Concept of "Taxable Person" under the CGST Act, 2017</w:t>
      </w:r>
    </w:p>
    <w:p w14:paraId="133AFABA" w14:textId="77777777" w:rsidR="005B4F67" w:rsidRPr="005B4F67" w:rsidRDefault="005B4F67" w:rsidP="005B4F67">
      <w:pPr>
        <w:spacing w:line="360" w:lineRule="auto"/>
        <w:jc w:val="both"/>
        <w:rPr>
          <w:rFonts w:ascii="Times New Roman" w:hAnsi="Times New Roman" w:cs="Times New Roman"/>
          <w:sz w:val="24"/>
          <w:szCs w:val="24"/>
        </w:rPr>
      </w:pPr>
      <w:r w:rsidRPr="005B4F67">
        <w:rPr>
          <w:rFonts w:ascii="Times New Roman" w:hAnsi="Times New Roman" w:cs="Times New Roman"/>
          <w:sz w:val="24"/>
          <w:szCs w:val="24"/>
        </w:rPr>
        <w:t xml:space="preserve">Under the GST framework, a </w:t>
      </w:r>
      <w:r w:rsidRPr="005B4F67">
        <w:rPr>
          <w:rFonts w:ascii="Times New Roman" w:hAnsi="Times New Roman" w:cs="Times New Roman"/>
          <w:b/>
          <w:bCs/>
          <w:sz w:val="24"/>
          <w:szCs w:val="24"/>
        </w:rPr>
        <w:t>taxable person</w:t>
      </w:r>
      <w:r w:rsidRPr="005B4F67">
        <w:rPr>
          <w:rFonts w:ascii="Times New Roman" w:hAnsi="Times New Roman" w:cs="Times New Roman"/>
          <w:sz w:val="24"/>
          <w:szCs w:val="24"/>
        </w:rPr>
        <w:t xml:space="preserve"> refers to an individual or entity that is registered or liable to be registered under the GST Act and is engaged in the supply of goods, services, or both. The concept of a taxable person is critical because it defines who is responsible for collecting and remitting GST to the government.</w:t>
      </w:r>
    </w:p>
    <w:p w14:paraId="1C7EA9CA" w14:textId="40D0775F" w:rsidR="005B4F67" w:rsidRPr="005B4F67" w:rsidRDefault="005B4F67" w:rsidP="00E41EB3">
      <w:pPr>
        <w:spacing w:line="360" w:lineRule="auto"/>
        <w:jc w:val="both"/>
        <w:rPr>
          <w:rFonts w:ascii="Times New Roman" w:hAnsi="Times New Roman" w:cs="Times New Roman"/>
          <w:sz w:val="24"/>
          <w:szCs w:val="24"/>
        </w:rPr>
      </w:pPr>
      <w:r w:rsidRPr="005B4F67">
        <w:rPr>
          <w:rFonts w:ascii="Times New Roman" w:hAnsi="Times New Roman" w:cs="Times New Roman"/>
          <w:sz w:val="24"/>
          <w:szCs w:val="24"/>
        </w:rPr>
        <w:t xml:space="preserve">As per </w:t>
      </w:r>
      <w:r w:rsidRPr="005B4F67">
        <w:rPr>
          <w:rFonts w:ascii="Times New Roman" w:hAnsi="Times New Roman" w:cs="Times New Roman"/>
          <w:b/>
          <w:bCs/>
          <w:sz w:val="24"/>
          <w:szCs w:val="24"/>
        </w:rPr>
        <w:t>Section 2(107)</w:t>
      </w:r>
      <w:r w:rsidRPr="005B4F67">
        <w:rPr>
          <w:rFonts w:ascii="Times New Roman" w:hAnsi="Times New Roman" w:cs="Times New Roman"/>
          <w:sz w:val="24"/>
          <w:szCs w:val="24"/>
        </w:rPr>
        <w:t xml:space="preserve"> of the CGST Act, 2017, a taxable person is anyone who is engaged in business and is liable to pay tax under GST, irrespective of whether they have been registered </w:t>
      </w:r>
    </w:p>
    <w:p w14:paraId="102691F8" w14:textId="0881DE17" w:rsidR="001B2A5A" w:rsidRDefault="001B2A5A" w:rsidP="001B2A5A">
      <w:pPr>
        <w:spacing w:line="360" w:lineRule="auto"/>
        <w:jc w:val="both"/>
        <w:rPr>
          <w:rFonts w:ascii="Times New Roman" w:hAnsi="Times New Roman" w:cs="Times New Roman"/>
          <w:sz w:val="24"/>
          <w:szCs w:val="24"/>
        </w:rPr>
      </w:pPr>
    </w:p>
    <w:p w14:paraId="7931D2CC" w14:textId="77777777" w:rsidR="005B4F67" w:rsidRPr="001B2A5A" w:rsidRDefault="005B4F67" w:rsidP="001B2A5A">
      <w:pPr>
        <w:spacing w:line="360" w:lineRule="auto"/>
        <w:jc w:val="both"/>
        <w:rPr>
          <w:rFonts w:ascii="Times New Roman" w:hAnsi="Times New Roman" w:cs="Times New Roman"/>
          <w:sz w:val="24"/>
          <w:szCs w:val="24"/>
        </w:rPr>
      </w:pPr>
    </w:p>
    <w:p w14:paraId="571C1124" w14:textId="687CCAB4" w:rsidR="001B2A5A" w:rsidRPr="005B4F67" w:rsidRDefault="001B2A5A" w:rsidP="001B2A5A">
      <w:pPr>
        <w:spacing w:line="360" w:lineRule="auto"/>
        <w:jc w:val="both"/>
        <w:rPr>
          <w:rFonts w:ascii="Times New Roman" w:hAnsi="Times New Roman" w:cs="Times New Roman"/>
          <w:b/>
          <w:sz w:val="24"/>
          <w:szCs w:val="24"/>
        </w:rPr>
      </w:pPr>
      <w:r w:rsidRPr="005B4F67">
        <w:rPr>
          <w:rFonts w:ascii="Times New Roman" w:hAnsi="Times New Roman" w:cs="Times New Roman"/>
          <w:b/>
          <w:sz w:val="24"/>
          <w:szCs w:val="24"/>
        </w:rPr>
        <w:t>5(a) Discuss different types of return furnished under GST by registered person.</w:t>
      </w:r>
    </w:p>
    <w:p w14:paraId="3BD85864" w14:textId="20374605" w:rsidR="001B2A5A" w:rsidRDefault="001B2A5A" w:rsidP="001B2A5A">
      <w:pPr>
        <w:spacing w:line="360" w:lineRule="auto"/>
        <w:jc w:val="both"/>
        <w:rPr>
          <w:rFonts w:ascii="Times New Roman" w:hAnsi="Times New Roman" w:cs="Times New Roman"/>
          <w:b/>
          <w:sz w:val="24"/>
          <w:szCs w:val="24"/>
        </w:rPr>
      </w:pPr>
      <w:r w:rsidRPr="005B4F67">
        <w:rPr>
          <w:rFonts w:ascii="Times New Roman" w:hAnsi="Times New Roman" w:cs="Times New Roman"/>
          <w:b/>
          <w:sz w:val="24"/>
          <w:szCs w:val="24"/>
        </w:rPr>
        <w:t>(b) Define “Input Tax Credit” and its availment and utilization with example.</w:t>
      </w:r>
    </w:p>
    <w:p w14:paraId="0385FD9E" w14:textId="578DB2F4" w:rsidR="005B4F67" w:rsidRPr="005B4F67" w:rsidRDefault="005B4F67" w:rsidP="001B2A5A">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14:paraId="39D2B1C5" w14:textId="77777777" w:rsidR="005B4F67" w:rsidRPr="005B4F67" w:rsidRDefault="005B4F67" w:rsidP="005B4F67">
      <w:pPr>
        <w:spacing w:line="360" w:lineRule="auto"/>
        <w:jc w:val="both"/>
        <w:rPr>
          <w:rFonts w:ascii="Times New Roman" w:hAnsi="Times New Roman" w:cs="Times New Roman"/>
          <w:b/>
          <w:bCs/>
          <w:sz w:val="24"/>
          <w:szCs w:val="24"/>
        </w:rPr>
      </w:pPr>
      <w:r w:rsidRPr="005B4F67">
        <w:rPr>
          <w:rFonts w:ascii="Times New Roman" w:hAnsi="Times New Roman" w:cs="Times New Roman"/>
          <w:b/>
          <w:bCs/>
          <w:sz w:val="24"/>
          <w:szCs w:val="24"/>
        </w:rPr>
        <w:t>(a) Different Types of Returns Furnished under GST by Registered Persons</w:t>
      </w:r>
    </w:p>
    <w:p w14:paraId="62FAA104" w14:textId="77777777" w:rsidR="005B4F67" w:rsidRPr="005B4F67" w:rsidRDefault="005B4F67" w:rsidP="005B4F67">
      <w:pPr>
        <w:spacing w:line="360" w:lineRule="auto"/>
        <w:jc w:val="both"/>
        <w:rPr>
          <w:rFonts w:ascii="Times New Roman" w:hAnsi="Times New Roman" w:cs="Times New Roman"/>
          <w:sz w:val="24"/>
          <w:szCs w:val="24"/>
        </w:rPr>
      </w:pPr>
      <w:r w:rsidRPr="005B4F67">
        <w:rPr>
          <w:rFonts w:ascii="Times New Roman" w:hAnsi="Times New Roman" w:cs="Times New Roman"/>
          <w:sz w:val="24"/>
          <w:szCs w:val="24"/>
        </w:rPr>
        <w:t>Under the Goods and Services Tax (GST) regime, registered persons are required to file various types of returns to ensure compliance and transparency. These returns vary based on the nature of the taxpayer and their activities. Key types of GST returns include:</w:t>
      </w:r>
    </w:p>
    <w:p w14:paraId="4D03E99E" w14:textId="18804CA2" w:rsidR="005B4F67" w:rsidRPr="005B4F67" w:rsidRDefault="005B4F67" w:rsidP="00E41EB3">
      <w:pPr>
        <w:spacing w:line="360" w:lineRule="auto"/>
        <w:jc w:val="both"/>
        <w:rPr>
          <w:rFonts w:ascii="Times New Roman" w:hAnsi="Times New Roman" w:cs="Times New Roman"/>
          <w:sz w:val="24"/>
          <w:szCs w:val="24"/>
        </w:rPr>
      </w:pPr>
      <w:r w:rsidRPr="005B4F67">
        <w:rPr>
          <w:rFonts w:ascii="Times New Roman" w:hAnsi="Times New Roman" w:cs="Times New Roman"/>
          <w:b/>
          <w:bCs/>
          <w:sz w:val="24"/>
          <w:szCs w:val="24"/>
        </w:rPr>
        <w:t>GSTR-1 (Outward Supplies Return)</w:t>
      </w:r>
      <w:r w:rsidRPr="005B4F67">
        <w:rPr>
          <w:rFonts w:ascii="Times New Roman" w:hAnsi="Times New Roman" w:cs="Times New Roman"/>
          <w:sz w:val="24"/>
          <w:szCs w:val="24"/>
        </w:rPr>
        <w:t>:</w:t>
      </w:r>
      <w:r>
        <w:rPr>
          <w:rFonts w:ascii="Times New Roman" w:hAnsi="Times New Roman" w:cs="Times New Roman"/>
          <w:sz w:val="24"/>
          <w:szCs w:val="24"/>
        </w:rPr>
        <w:t xml:space="preserve"> </w:t>
      </w:r>
      <w:r w:rsidRPr="005B4F67">
        <w:rPr>
          <w:rFonts w:ascii="Times New Roman" w:hAnsi="Times New Roman" w:cs="Times New Roman"/>
          <w:sz w:val="24"/>
          <w:szCs w:val="24"/>
        </w:rPr>
        <w:t xml:space="preserve">This return is filed to report details of outward supplies of goods or services made by the registered person. It includes details of invoices, debit notes, credit notes, and any amendments. It is filed monthly by regular taxpayers, or quarterly by </w:t>
      </w:r>
    </w:p>
    <w:p w14:paraId="5B728089" w14:textId="52B9E235" w:rsidR="001B2A5A" w:rsidRPr="001B2A5A" w:rsidRDefault="001B2A5A" w:rsidP="001B2A5A">
      <w:pPr>
        <w:spacing w:line="360" w:lineRule="auto"/>
        <w:jc w:val="both"/>
        <w:rPr>
          <w:rFonts w:ascii="Times New Roman" w:hAnsi="Times New Roman" w:cs="Times New Roman"/>
          <w:sz w:val="24"/>
          <w:szCs w:val="24"/>
        </w:rPr>
      </w:pPr>
    </w:p>
    <w:p w14:paraId="4027EE4F" w14:textId="56EE2B7C" w:rsidR="001B2A5A" w:rsidRPr="001B2A5A" w:rsidRDefault="001B2A5A" w:rsidP="001B2A5A">
      <w:pPr>
        <w:spacing w:line="360" w:lineRule="auto"/>
        <w:jc w:val="both"/>
        <w:rPr>
          <w:rFonts w:ascii="Times New Roman" w:hAnsi="Times New Roman" w:cs="Times New Roman"/>
          <w:sz w:val="24"/>
          <w:szCs w:val="24"/>
        </w:rPr>
      </w:pPr>
    </w:p>
    <w:p w14:paraId="42376D66" w14:textId="5AB6182F" w:rsidR="001B2A5A" w:rsidRPr="005B4F67" w:rsidRDefault="001B2A5A" w:rsidP="001B2A5A">
      <w:pPr>
        <w:spacing w:line="360" w:lineRule="auto"/>
        <w:jc w:val="both"/>
        <w:rPr>
          <w:rFonts w:ascii="Times New Roman" w:hAnsi="Times New Roman" w:cs="Times New Roman"/>
          <w:b/>
          <w:sz w:val="24"/>
          <w:szCs w:val="24"/>
        </w:rPr>
      </w:pPr>
      <w:r w:rsidRPr="005B4F67">
        <w:rPr>
          <w:rFonts w:ascii="Times New Roman" w:hAnsi="Times New Roman" w:cs="Times New Roman"/>
          <w:b/>
          <w:sz w:val="24"/>
          <w:szCs w:val="24"/>
        </w:rPr>
        <w:t>6(a) Explain the “Export procedure” adopted in Indian custom Act.</w:t>
      </w:r>
    </w:p>
    <w:p w14:paraId="0A070546" w14:textId="5B8282F9" w:rsidR="001B2A5A" w:rsidRPr="005B4F67" w:rsidRDefault="001B2A5A" w:rsidP="001B2A5A">
      <w:pPr>
        <w:spacing w:line="360" w:lineRule="auto"/>
        <w:jc w:val="both"/>
        <w:rPr>
          <w:rFonts w:ascii="Times New Roman" w:hAnsi="Times New Roman" w:cs="Times New Roman"/>
          <w:b/>
          <w:sz w:val="24"/>
          <w:szCs w:val="24"/>
        </w:rPr>
      </w:pPr>
      <w:r w:rsidRPr="005B4F67">
        <w:rPr>
          <w:rFonts w:ascii="Times New Roman" w:hAnsi="Times New Roman" w:cs="Times New Roman"/>
          <w:b/>
          <w:sz w:val="24"/>
          <w:szCs w:val="24"/>
        </w:rPr>
        <w:t>(b) Ascertain assessable value for customs purposes of a consignment imported from U.S.A. If the FOB price of the goods is $ 40,000. Fright is 20% of FOB and Insurance charge is 1.125% of FOB. The exchange rate notified by the Central Board of Indirect Taxes and Customs is $1 = Rs. 70.</w:t>
      </w:r>
    </w:p>
    <w:p w14:paraId="38E76964" w14:textId="16E64BBB" w:rsidR="005B4F67" w:rsidRPr="005B4F67" w:rsidRDefault="005B4F67" w:rsidP="001B2A5A">
      <w:pPr>
        <w:spacing w:line="360" w:lineRule="auto"/>
        <w:jc w:val="both"/>
        <w:rPr>
          <w:rFonts w:ascii="Times New Roman" w:hAnsi="Times New Roman" w:cs="Times New Roman"/>
          <w:b/>
          <w:sz w:val="24"/>
          <w:szCs w:val="24"/>
        </w:rPr>
      </w:pPr>
      <w:r w:rsidRPr="005B4F67">
        <w:rPr>
          <w:rFonts w:ascii="Times New Roman" w:hAnsi="Times New Roman" w:cs="Times New Roman"/>
          <w:b/>
          <w:sz w:val="24"/>
          <w:szCs w:val="24"/>
        </w:rPr>
        <w:t>Ans 6.</w:t>
      </w:r>
    </w:p>
    <w:p w14:paraId="53F6DEDF" w14:textId="77777777" w:rsidR="005B4F67" w:rsidRPr="00AC1CCD" w:rsidRDefault="005B4F67" w:rsidP="005B4F67">
      <w:pPr>
        <w:pStyle w:val="Heading3"/>
        <w:spacing w:line="360" w:lineRule="auto"/>
        <w:jc w:val="both"/>
        <w:rPr>
          <w:rFonts w:ascii="Times New Roman" w:hAnsi="Times New Roman" w:cs="Times New Roman"/>
          <w:sz w:val="24"/>
          <w:szCs w:val="24"/>
        </w:rPr>
      </w:pPr>
      <w:bookmarkStart w:id="5" w:name="X48c24213ca6d57cb374809f314892b7aa86416c"/>
      <w:r w:rsidRPr="00AC1CCD">
        <w:rPr>
          <w:rFonts w:ascii="Times New Roman" w:hAnsi="Times New Roman" w:cs="Times New Roman"/>
          <w:sz w:val="24"/>
          <w:szCs w:val="24"/>
        </w:rPr>
        <w:t>(a) Export Procedure under the Indian Customs Act</w:t>
      </w:r>
    </w:p>
    <w:p w14:paraId="40D0F9D6" w14:textId="77777777" w:rsidR="005B4F67" w:rsidRPr="00AC1CCD" w:rsidRDefault="005B4F67" w:rsidP="005B4F67">
      <w:pPr>
        <w:pStyle w:val="FirstParagraph"/>
        <w:spacing w:line="360" w:lineRule="auto"/>
        <w:jc w:val="both"/>
        <w:rPr>
          <w:rFonts w:cs="Times New Roman"/>
        </w:rPr>
      </w:pPr>
      <w:r w:rsidRPr="00AC1CCD">
        <w:rPr>
          <w:rFonts w:cs="Times New Roman"/>
        </w:rPr>
        <w:t>The export procedure under the Indian Customs Act is a systematic process designed to ensure compliance with regulations and facilitate the smooth movement of goods out of the country. The procedure can be summarized as follows:</w:t>
      </w:r>
    </w:p>
    <w:p w14:paraId="2C0D6501" w14:textId="7D75F8CF" w:rsidR="005B4F67" w:rsidRPr="00AC1CCD" w:rsidRDefault="005B4F67" w:rsidP="005B4F67">
      <w:pPr>
        <w:spacing w:after="200" w:line="360" w:lineRule="auto"/>
        <w:jc w:val="both"/>
        <w:rPr>
          <w:rFonts w:ascii="Times New Roman" w:hAnsi="Times New Roman" w:cs="Times New Roman"/>
          <w:sz w:val="24"/>
          <w:szCs w:val="24"/>
        </w:rPr>
      </w:pPr>
      <w:r w:rsidRPr="00AC1CCD">
        <w:rPr>
          <w:rFonts w:ascii="Times New Roman" w:hAnsi="Times New Roman" w:cs="Times New Roman"/>
          <w:b/>
          <w:bCs/>
          <w:sz w:val="24"/>
          <w:szCs w:val="24"/>
        </w:rPr>
        <w:t>Registration with Authorities</w:t>
      </w:r>
      <w:r w:rsidRPr="00AC1CCD">
        <w:rPr>
          <w:rFonts w:ascii="Times New Roman" w:hAnsi="Times New Roman" w:cs="Times New Roman"/>
          <w:sz w:val="24"/>
          <w:szCs w:val="24"/>
        </w:rPr>
        <w:t>:</w:t>
      </w:r>
      <w:r>
        <w:rPr>
          <w:rFonts w:ascii="Times New Roman" w:hAnsi="Times New Roman" w:cs="Times New Roman"/>
          <w:sz w:val="24"/>
          <w:szCs w:val="24"/>
        </w:rPr>
        <w:t xml:space="preserve"> </w:t>
      </w:r>
      <w:r w:rsidRPr="00AC1CCD">
        <w:rPr>
          <w:rFonts w:ascii="Times New Roman" w:hAnsi="Times New Roman" w:cs="Times New Roman"/>
          <w:sz w:val="24"/>
          <w:szCs w:val="24"/>
        </w:rPr>
        <w:t>The exporter must register with the Directorate General of Foreign Trade (DGFT) and obtain an Import-Export Code (IEC). For availing of export incentives, registration with the Export Promotion Council (EPC) may be necessary.</w:t>
      </w:r>
    </w:p>
    <w:p w14:paraId="70B29CDB" w14:textId="0D08A385" w:rsidR="001B2A5A" w:rsidRPr="001B2A5A" w:rsidRDefault="005B4F67" w:rsidP="00E41EB3">
      <w:pPr>
        <w:spacing w:after="200" w:line="360" w:lineRule="auto"/>
        <w:jc w:val="both"/>
        <w:rPr>
          <w:rFonts w:ascii="Times New Roman" w:hAnsi="Times New Roman" w:cs="Times New Roman"/>
          <w:sz w:val="24"/>
          <w:szCs w:val="24"/>
        </w:rPr>
      </w:pPr>
      <w:r w:rsidRPr="00AC1CCD">
        <w:rPr>
          <w:rFonts w:ascii="Times New Roman" w:hAnsi="Times New Roman" w:cs="Times New Roman"/>
          <w:b/>
          <w:bCs/>
          <w:sz w:val="24"/>
          <w:szCs w:val="24"/>
        </w:rPr>
        <w:t>Preparation of Export Documents</w:t>
      </w:r>
      <w:r w:rsidRPr="00AC1CCD">
        <w:rPr>
          <w:rFonts w:ascii="Times New Roman" w:hAnsi="Times New Roman" w:cs="Times New Roman"/>
          <w:sz w:val="24"/>
          <w:szCs w:val="24"/>
        </w:rPr>
        <w:t>:</w:t>
      </w:r>
      <w:r>
        <w:rPr>
          <w:rFonts w:ascii="Times New Roman" w:hAnsi="Times New Roman" w:cs="Times New Roman"/>
          <w:sz w:val="24"/>
          <w:szCs w:val="24"/>
        </w:rPr>
        <w:t xml:space="preserve"> </w:t>
      </w:r>
      <w:r w:rsidRPr="00AC1CCD">
        <w:rPr>
          <w:rFonts w:ascii="Times New Roman" w:hAnsi="Times New Roman" w:cs="Times New Roman"/>
          <w:sz w:val="24"/>
          <w:szCs w:val="24"/>
        </w:rPr>
        <w:t xml:space="preserve">Documents like the commercial invoice, packing list, and </w:t>
      </w:r>
      <w:bookmarkStart w:id="6" w:name="_GoBack"/>
      <w:bookmarkEnd w:id="5"/>
      <w:bookmarkEnd w:id="6"/>
    </w:p>
    <w:p w14:paraId="7F7B257A" w14:textId="74F8CFCC" w:rsidR="000B267A" w:rsidRPr="001B2A5A" w:rsidRDefault="000B267A" w:rsidP="001B2A5A">
      <w:pPr>
        <w:spacing w:line="360" w:lineRule="auto"/>
        <w:jc w:val="both"/>
        <w:rPr>
          <w:rFonts w:ascii="Times New Roman" w:hAnsi="Times New Roman" w:cs="Times New Roman"/>
          <w:sz w:val="24"/>
          <w:szCs w:val="24"/>
        </w:rPr>
      </w:pPr>
    </w:p>
    <w:sectPr w:rsidR="000B267A" w:rsidRPr="001B2A5A" w:rsidSect="001B2A5A">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77154" w14:textId="77777777" w:rsidR="001A13B5" w:rsidRDefault="001A13B5">
      <w:pPr>
        <w:spacing w:after="0" w:line="240" w:lineRule="auto"/>
      </w:pPr>
      <w:r>
        <w:separator/>
      </w:r>
    </w:p>
  </w:endnote>
  <w:endnote w:type="continuationSeparator" w:id="0">
    <w:p w14:paraId="087934DE" w14:textId="77777777" w:rsidR="001A13B5" w:rsidRDefault="001A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14217C8D"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F50C3" w14:textId="77777777" w:rsidR="001A13B5" w:rsidRDefault="001A13B5">
      <w:pPr>
        <w:spacing w:after="0" w:line="240" w:lineRule="auto"/>
      </w:pPr>
      <w:r>
        <w:separator/>
      </w:r>
    </w:p>
  </w:footnote>
  <w:footnote w:type="continuationSeparator" w:id="0">
    <w:p w14:paraId="344A2F5D" w14:textId="77777777" w:rsidR="001A13B5" w:rsidRDefault="001A1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E116C47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A894A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FD16792"/>
    <w:multiLevelType w:val="multilevel"/>
    <w:tmpl w:val="FE0226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22C3F"/>
    <w:multiLevelType w:val="multilevel"/>
    <w:tmpl w:val="FE0226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B01B44"/>
    <w:multiLevelType w:val="multilevel"/>
    <w:tmpl w:val="FE0226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7C05D7B"/>
    <w:multiLevelType w:val="multilevel"/>
    <w:tmpl w:val="0D34E9C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7D910E8"/>
    <w:multiLevelType w:val="hybridMultilevel"/>
    <w:tmpl w:val="7E9801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847616"/>
    <w:multiLevelType w:val="multilevel"/>
    <w:tmpl w:val="E918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13"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860969"/>
    <w:multiLevelType w:val="hybridMultilevel"/>
    <w:tmpl w:val="6B5C2F24"/>
    <w:lvl w:ilvl="0" w:tplc="40090019">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916632"/>
    <w:multiLevelType w:val="multilevel"/>
    <w:tmpl w:val="FE0226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195D19"/>
    <w:multiLevelType w:val="hybridMultilevel"/>
    <w:tmpl w:val="9A263AA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9250210"/>
    <w:multiLevelType w:val="multilevel"/>
    <w:tmpl w:val="FE0226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FE689A"/>
    <w:multiLevelType w:val="multilevel"/>
    <w:tmpl w:val="6486D9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F530C4"/>
    <w:multiLevelType w:val="multilevel"/>
    <w:tmpl w:val="FCC845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E56A95"/>
    <w:multiLevelType w:val="hybridMultilevel"/>
    <w:tmpl w:val="84D205E0"/>
    <w:lvl w:ilvl="0" w:tplc="40090019">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D80955"/>
    <w:multiLevelType w:val="multilevel"/>
    <w:tmpl w:val="6C7A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1167B70"/>
    <w:multiLevelType w:val="multilevel"/>
    <w:tmpl w:val="F8E8653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53DA1C98"/>
    <w:multiLevelType w:val="hybridMultilevel"/>
    <w:tmpl w:val="093EEFC4"/>
    <w:lvl w:ilvl="0" w:tplc="253CD34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9667A38"/>
    <w:multiLevelType w:val="multilevel"/>
    <w:tmpl w:val="FE0226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CA72C1"/>
    <w:multiLevelType w:val="hybridMultilevel"/>
    <w:tmpl w:val="EFA0649E"/>
    <w:lvl w:ilvl="0" w:tplc="19FAEBCE">
      <w:start w:val="1"/>
      <w:numFmt w:val="lowerLetter"/>
      <w:lvlText w:val="(%1)"/>
      <w:lvlJc w:val="lef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A694315"/>
    <w:multiLevelType w:val="hybridMultilevel"/>
    <w:tmpl w:val="3460A50A"/>
    <w:lvl w:ilvl="0" w:tplc="80E43866">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A89744D"/>
    <w:multiLevelType w:val="multilevel"/>
    <w:tmpl w:val="0D34E9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68F54B6"/>
    <w:multiLevelType w:val="hybridMultilevel"/>
    <w:tmpl w:val="36A0236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E5E69C5"/>
    <w:multiLevelType w:val="multilevel"/>
    <w:tmpl w:val="0D34E9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964A59"/>
    <w:multiLevelType w:val="multilevel"/>
    <w:tmpl w:val="FE0226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A05ACF"/>
    <w:multiLevelType w:val="multilevel"/>
    <w:tmpl w:val="FE0226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5F17A8B"/>
    <w:multiLevelType w:val="multilevel"/>
    <w:tmpl w:val="FE0226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AF5635C"/>
    <w:multiLevelType w:val="multilevel"/>
    <w:tmpl w:val="FE0226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833040"/>
    <w:multiLevelType w:val="hybridMultilevel"/>
    <w:tmpl w:val="E6D4EC9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C577070"/>
    <w:multiLevelType w:val="hybridMultilevel"/>
    <w:tmpl w:val="D86A0490"/>
    <w:lvl w:ilvl="0" w:tplc="898E8B96">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F122AF7"/>
    <w:multiLevelType w:val="hybridMultilevel"/>
    <w:tmpl w:val="DC647D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FD96F1D"/>
    <w:multiLevelType w:val="multilevel"/>
    <w:tmpl w:val="FF60A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1"/>
  </w:num>
  <w:num w:numId="3">
    <w:abstractNumId w:val="15"/>
  </w:num>
  <w:num w:numId="4">
    <w:abstractNumId w:val="10"/>
  </w:num>
  <w:num w:numId="5">
    <w:abstractNumId w:val="13"/>
  </w:num>
  <w:num w:numId="6">
    <w:abstractNumId w:val="35"/>
  </w:num>
  <w:num w:numId="7">
    <w:abstractNumId w:val="22"/>
  </w:num>
  <w:num w:numId="8">
    <w:abstractNumId w:val="33"/>
  </w:num>
  <w:num w:numId="9">
    <w:abstractNumId w:val="25"/>
  </w:num>
  <w:num w:numId="10">
    <w:abstractNumId w:val="32"/>
  </w:num>
  <w:num w:numId="11">
    <w:abstractNumId w:val="39"/>
  </w:num>
  <w:num w:numId="12">
    <w:abstractNumId w:val="6"/>
  </w:num>
  <w:num w:numId="13">
    <w:abstractNumId w:val="5"/>
  </w:num>
  <w:num w:numId="14">
    <w:abstractNumId w:val="24"/>
  </w:num>
  <w:num w:numId="15">
    <w:abstractNumId w:val="12"/>
  </w:num>
  <w:num w:numId="16">
    <w:abstractNumId w:val="34"/>
  </w:num>
  <w:num w:numId="17">
    <w:abstractNumId w:val="8"/>
  </w:num>
  <w:num w:numId="18">
    <w:abstractNumId w:val="17"/>
  </w:num>
  <w:num w:numId="19">
    <w:abstractNumId w:val="43"/>
  </w:num>
  <w:num w:numId="20">
    <w:abstractNumId w:val="45"/>
  </w:num>
  <w:num w:numId="21">
    <w:abstractNumId w:val="14"/>
  </w:num>
  <w:num w:numId="22">
    <w:abstractNumId w:val="21"/>
  </w:num>
  <w:num w:numId="23">
    <w:abstractNumId w:val="44"/>
  </w:num>
  <w:num w:numId="24">
    <w:abstractNumId w:val="27"/>
  </w:num>
  <w:num w:numId="25">
    <w:abstractNumId w:val="30"/>
  </w:num>
  <w:num w:numId="26">
    <w:abstractNumId w:val="29"/>
  </w:num>
  <w:num w:numId="27">
    <w:abstractNumId w:val="23"/>
  </w:num>
  <w:num w:numId="28">
    <w:abstractNumId w:val="26"/>
  </w:num>
  <w:num w:numId="29">
    <w:abstractNumId w:val="40"/>
  </w:num>
  <w:num w:numId="30">
    <w:abstractNumId w:val="11"/>
  </w:num>
  <w:num w:numId="31">
    <w:abstractNumId w:val="7"/>
  </w:num>
  <w:num w:numId="32">
    <w:abstractNumId w:val="36"/>
  </w:num>
  <w:num w:numId="33">
    <w:abstractNumId w:val="37"/>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42"/>
  </w:num>
  <w:num w:numId="38">
    <w:abstractNumId w:val="3"/>
  </w:num>
  <w:num w:numId="39">
    <w:abstractNumId w:val="20"/>
  </w:num>
  <w:num w:numId="40">
    <w:abstractNumId w:val="19"/>
  </w:num>
  <w:num w:numId="41">
    <w:abstractNumId w:val="18"/>
  </w:num>
  <w:num w:numId="42">
    <w:abstractNumId w:val="4"/>
  </w:num>
  <w:num w:numId="43">
    <w:abstractNumId w:val="2"/>
  </w:num>
  <w:num w:numId="44">
    <w:abstractNumId w:val="38"/>
  </w:num>
  <w:num w:numId="45">
    <w:abstractNumId w:val="46"/>
  </w:num>
  <w:num w:numId="46">
    <w:abstractNumId w:val="28"/>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14D97"/>
    <w:rsid w:val="00021DD2"/>
    <w:rsid w:val="00024EA8"/>
    <w:rsid w:val="00040775"/>
    <w:rsid w:val="000501C5"/>
    <w:rsid w:val="00054CB1"/>
    <w:rsid w:val="000B267A"/>
    <w:rsid w:val="000B467B"/>
    <w:rsid w:val="000B6F72"/>
    <w:rsid w:val="000C330B"/>
    <w:rsid w:val="000C4A0E"/>
    <w:rsid w:val="000C58BD"/>
    <w:rsid w:val="000E065F"/>
    <w:rsid w:val="001143BC"/>
    <w:rsid w:val="00115BB2"/>
    <w:rsid w:val="001539FB"/>
    <w:rsid w:val="00160DBF"/>
    <w:rsid w:val="001631E6"/>
    <w:rsid w:val="00194EA3"/>
    <w:rsid w:val="001A13B5"/>
    <w:rsid w:val="001A4ABB"/>
    <w:rsid w:val="001A6BC6"/>
    <w:rsid w:val="001B2A5A"/>
    <w:rsid w:val="001C514A"/>
    <w:rsid w:val="001E494A"/>
    <w:rsid w:val="001E4CD4"/>
    <w:rsid w:val="001E6A9F"/>
    <w:rsid w:val="001F4636"/>
    <w:rsid w:val="00201AE3"/>
    <w:rsid w:val="00203704"/>
    <w:rsid w:val="00212FCF"/>
    <w:rsid w:val="00221CEB"/>
    <w:rsid w:val="00234CC9"/>
    <w:rsid w:val="00250174"/>
    <w:rsid w:val="0027106F"/>
    <w:rsid w:val="002730F7"/>
    <w:rsid w:val="00274A2A"/>
    <w:rsid w:val="00286FAE"/>
    <w:rsid w:val="00293B20"/>
    <w:rsid w:val="002A7BFB"/>
    <w:rsid w:val="002C06C3"/>
    <w:rsid w:val="002D75E6"/>
    <w:rsid w:val="002E7A1B"/>
    <w:rsid w:val="00307FD4"/>
    <w:rsid w:val="00330AF0"/>
    <w:rsid w:val="00341257"/>
    <w:rsid w:val="00344E32"/>
    <w:rsid w:val="00346E1D"/>
    <w:rsid w:val="003A19DB"/>
    <w:rsid w:val="003A684E"/>
    <w:rsid w:val="003B2608"/>
    <w:rsid w:val="003C1E73"/>
    <w:rsid w:val="003C7D8A"/>
    <w:rsid w:val="00401DC3"/>
    <w:rsid w:val="00427D2B"/>
    <w:rsid w:val="00490A6F"/>
    <w:rsid w:val="004C1A52"/>
    <w:rsid w:val="004C2D2B"/>
    <w:rsid w:val="004C6CC0"/>
    <w:rsid w:val="004D23A9"/>
    <w:rsid w:val="004E5DAE"/>
    <w:rsid w:val="00532B9B"/>
    <w:rsid w:val="00547DCC"/>
    <w:rsid w:val="00551EFE"/>
    <w:rsid w:val="00552DA4"/>
    <w:rsid w:val="005530A1"/>
    <w:rsid w:val="00554803"/>
    <w:rsid w:val="00561C7C"/>
    <w:rsid w:val="00570F24"/>
    <w:rsid w:val="00595428"/>
    <w:rsid w:val="00597638"/>
    <w:rsid w:val="005A4423"/>
    <w:rsid w:val="005B4F67"/>
    <w:rsid w:val="005B6CDB"/>
    <w:rsid w:val="005D66A9"/>
    <w:rsid w:val="005F466A"/>
    <w:rsid w:val="0060010A"/>
    <w:rsid w:val="00600C3F"/>
    <w:rsid w:val="00603479"/>
    <w:rsid w:val="00603DFE"/>
    <w:rsid w:val="00610449"/>
    <w:rsid w:val="00622BCA"/>
    <w:rsid w:val="00650150"/>
    <w:rsid w:val="00652808"/>
    <w:rsid w:val="006632FB"/>
    <w:rsid w:val="00684412"/>
    <w:rsid w:val="006868C5"/>
    <w:rsid w:val="006B3C30"/>
    <w:rsid w:val="006B4DD6"/>
    <w:rsid w:val="006B7E40"/>
    <w:rsid w:val="006B7F63"/>
    <w:rsid w:val="006C35BE"/>
    <w:rsid w:val="006C498D"/>
    <w:rsid w:val="006D304D"/>
    <w:rsid w:val="006E7B3B"/>
    <w:rsid w:val="00702D67"/>
    <w:rsid w:val="00756F97"/>
    <w:rsid w:val="00765818"/>
    <w:rsid w:val="00784342"/>
    <w:rsid w:val="007A18F2"/>
    <w:rsid w:val="007B7A23"/>
    <w:rsid w:val="007D6CD9"/>
    <w:rsid w:val="007E4FC1"/>
    <w:rsid w:val="007F0C2B"/>
    <w:rsid w:val="007F1D3E"/>
    <w:rsid w:val="00811B87"/>
    <w:rsid w:val="00816193"/>
    <w:rsid w:val="00820AC7"/>
    <w:rsid w:val="008444C9"/>
    <w:rsid w:val="008649F0"/>
    <w:rsid w:val="00874256"/>
    <w:rsid w:val="00875B8D"/>
    <w:rsid w:val="008903F4"/>
    <w:rsid w:val="008A05BE"/>
    <w:rsid w:val="008C23FC"/>
    <w:rsid w:val="008C31A6"/>
    <w:rsid w:val="008D02EE"/>
    <w:rsid w:val="008D79FB"/>
    <w:rsid w:val="008E017F"/>
    <w:rsid w:val="008F18BD"/>
    <w:rsid w:val="0092366A"/>
    <w:rsid w:val="00925783"/>
    <w:rsid w:val="0092623C"/>
    <w:rsid w:val="00974922"/>
    <w:rsid w:val="0098285D"/>
    <w:rsid w:val="009B510E"/>
    <w:rsid w:val="009C253C"/>
    <w:rsid w:val="009D0839"/>
    <w:rsid w:val="009D33C2"/>
    <w:rsid w:val="009D63B2"/>
    <w:rsid w:val="009E3AD0"/>
    <w:rsid w:val="009E671B"/>
    <w:rsid w:val="009F661A"/>
    <w:rsid w:val="00A1077F"/>
    <w:rsid w:val="00A47994"/>
    <w:rsid w:val="00A831E2"/>
    <w:rsid w:val="00A85B28"/>
    <w:rsid w:val="00AA0FD6"/>
    <w:rsid w:val="00AA555A"/>
    <w:rsid w:val="00AB09FC"/>
    <w:rsid w:val="00AB1DDE"/>
    <w:rsid w:val="00AB1FDB"/>
    <w:rsid w:val="00AD782B"/>
    <w:rsid w:val="00AE413F"/>
    <w:rsid w:val="00AF345D"/>
    <w:rsid w:val="00AF3480"/>
    <w:rsid w:val="00AF38C8"/>
    <w:rsid w:val="00AF5C1C"/>
    <w:rsid w:val="00B07159"/>
    <w:rsid w:val="00B14DF1"/>
    <w:rsid w:val="00B45ED8"/>
    <w:rsid w:val="00B819E9"/>
    <w:rsid w:val="00BC07A1"/>
    <w:rsid w:val="00BC07D7"/>
    <w:rsid w:val="00BC6496"/>
    <w:rsid w:val="00BC682B"/>
    <w:rsid w:val="00BD33B4"/>
    <w:rsid w:val="00BE6CDF"/>
    <w:rsid w:val="00BF36BE"/>
    <w:rsid w:val="00C031FB"/>
    <w:rsid w:val="00C12530"/>
    <w:rsid w:val="00C47218"/>
    <w:rsid w:val="00C55567"/>
    <w:rsid w:val="00CA3770"/>
    <w:rsid w:val="00CB70AA"/>
    <w:rsid w:val="00CC230F"/>
    <w:rsid w:val="00D05DA8"/>
    <w:rsid w:val="00D10F17"/>
    <w:rsid w:val="00D20368"/>
    <w:rsid w:val="00D25A19"/>
    <w:rsid w:val="00D34A92"/>
    <w:rsid w:val="00D56CBB"/>
    <w:rsid w:val="00DA20BD"/>
    <w:rsid w:val="00DA57DB"/>
    <w:rsid w:val="00DB7E03"/>
    <w:rsid w:val="00DE5F07"/>
    <w:rsid w:val="00E01D6B"/>
    <w:rsid w:val="00E02C12"/>
    <w:rsid w:val="00E41EB3"/>
    <w:rsid w:val="00E52C06"/>
    <w:rsid w:val="00EA4137"/>
    <w:rsid w:val="00EB43FA"/>
    <w:rsid w:val="00EF7585"/>
    <w:rsid w:val="00F05765"/>
    <w:rsid w:val="00F168BF"/>
    <w:rsid w:val="00F22CF7"/>
    <w:rsid w:val="00F46D65"/>
    <w:rsid w:val="00F56982"/>
    <w:rsid w:val="00F61E7B"/>
    <w:rsid w:val="00F63420"/>
    <w:rsid w:val="00F70DF4"/>
    <w:rsid w:val="00F72DA8"/>
    <w:rsid w:val="00F758B8"/>
    <w:rsid w:val="00F80453"/>
    <w:rsid w:val="00F81F0F"/>
    <w:rsid w:val="00FA1868"/>
    <w:rsid w:val="00FA6548"/>
    <w:rsid w:val="00FC2AC9"/>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1631E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qFormat/>
    <w:rsid w:val="001B2A5A"/>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1B2A5A"/>
    <w:rPr>
      <w:rFonts w:ascii="Times New Roman" w:eastAsiaTheme="minorHAnsi" w:hAnsi="Times New Roman" w:cstheme="minorBidi"/>
      <w:sz w:val="24"/>
      <w:szCs w:val="24"/>
      <w:lang w:val="en-US" w:eastAsia="en-US"/>
    </w:rPr>
  </w:style>
  <w:style w:type="paragraph" w:customStyle="1" w:styleId="FirstParagraph">
    <w:name w:val="First Paragraph"/>
    <w:basedOn w:val="BodyText"/>
    <w:next w:val="BodyText"/>
    <w:qFormat/>
    <w:rsid w:val="001B2A5A"/>
  </w:style>
  <w:style w:type="paragraph" w:customStyle="1" w:styleId="Compact">
    <w:name w:val="Compact"/>
    <w:basedOn w:val="BodyText"/>
    <w:qFormat/>
    <w:rsid w:val="001B2A5A"/>
    <w:pPr>
      <w:spacing w:before="36" w:after="36"/>
    </w:pPr>
  </w:style>
  <w:style w:type="table" w:customStyle="1" w:styleId="Table">
    <w:name w:val="Table"/>
    <w:semiHidden/>
    <w:unhideWhenUsed/>
    <w:qFormat/>
    <w:rsid w:val="001B2A5A"/>
    <w:pPr>
      <w:spacing w:after="200" w:line="240" w:lineRule="auto"/>
    </w:pPr>
    <w:rPr>
      <w:rFonts w:asciiTheme="minorHAnsi" w:eastAsiaTheme="minorHAnsi"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styleId="Hyperlink">
    <w:name w:val="Hyperlink"/>
    <w:basedOn w:val="DefaultParagraphFont"/>
    <w:uiPriority w:val="99"/>
    <w:semiHidden/>
    <w:unhideWhenUsed/>
    <w:rsid w:val="00E41E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730">
      <w:bodyDiv w:val="1"/>
      <w:marLeft w:val="0"/>
      <w:marRight w:val="0"/>
      <w:marTop w:val="0"/>
      <w:marBottom w:val="0"/>
      <w:divBdr>
        <w:top w:val="none" w:sz="0" w:space="0" w:color="auto"/>
        <w:left w:val="none" w:sz="0" w:space="0" w:color="auto"/>
        <w:bottom w:val="none" w:sz="0" w:space="0" w:color="auto"/>
        <w:right w:val="none" w:sz="0" w:space="0" w:color="auto"/>
      </w:divBdr>
      <w:divsChild>
        <w:div w:id="191380825">
          <w:marLeft w:val="0"/>
          <w:marRight w:val="0"/>
          <w:marTop w:val="0"/>
          <w:marBottom w:val="0"/>
          <w:divBdr>
            <w:top w:val="none" w:sz="0" w:space="0" w:color="auto"/>
            <w:left w:val="none" w:sz="0" w:space="0" w:color="auto"/>
            <w:bottom w:val="none" w:sz="0" w:space="0" w:color="auto"/>
            <w:right w:val="none" w:sz="0" w:space="0" w:color="auto"/>
          </w:divBdr>
          <w:divsChild>
            <w:div w:id="1181357638">
              <w:marLeft w:val="0"/>
              <w:marRight w:val="0"/>
              <w:marTop w:val="0"/>
              <w:marBottom w:val="0"/>
              <w:divBdr>
                <w:top w:val="none" w:sz="0" w:space="0" w:color="auto"/>
                <w:left w:val="none" w:sz="0" w:space="0" w:color="auto"/>
                <w:bottom w:val="none" w:sz="0" w:space="0" w:color="auto"/>
                <w:right w:val="none" w:sz="0" w:space="0" w:color="auto"/>
              </w:divBdr>
              <w:divsChild>
                <w:div w:id="744759787">
                  <w:marLeft w:val="0"/>
                  <w:marRight w:val="0"/>
                  <w:marTop w:val="0"/>
                  <w:marBottom w:val="0"/>
                  <w:divBdr>
                    <w:top w:val="none" w:sz="0" w:space="0" w:color="auto"/>
                    <w:left w:val="none" w:sz="0" w:space="0" w:color="auto"/>
                    <w:bottom w:val="none" w:sz="0" w:space="0" w:color="auto"/>
                    <w:right w:val="none" w:sz="0" w:space="0" w:color="auto"/>
                  </w:divBdr>
                  <w:divsChild>
                    <w:div w:id="11301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0610">
          <w:marLeft w:val="0"/>
          <w:marRight w:val="0"/>
          <w:marTop w:val="0"/>
          <w:marBottom w:val="0"/>
          <w:divBdr>
            <w:top w:val="none" w:sz="0" w:space="0" w:color="auto"/>
            <w:left w:val="none" w:sz="0" w:space="0" w:color="auto"/>
            <w:bottom w:val="none" w:sz="0" w:space="0" w:color="auto"/>
            <w:right w:val="none" w:sz="0" w:space="0" w:color="auto"/>
          </w:divBdr>
          <w:divsChild>
            <w:div w:id="1205096415">
              <w:marLeft w:val="0"/>
              <w:marRight w:val="0"/>
              <w:marTop w:val="0"/>
              <w:marBottom w:val="0"/>
              <w:divBdr>
                <w:top w:val="none" w:sz="0" w:space="0" w:color="auto"/>
                <w:left w:val="none" w:sz="0" w:space="0" w:color="auto"/>
                <w:bottom w:val="none" w:sz="0" w:space="0" w:color="auto"/>
                <w:right w:val="none" w:sz="0" w:space="0" w:color="auto"/>
              </w:divBdr>
              <w:divsChild>
                <w:div w:id="153228681">
                  <w:marLeft w:val="0"/>
                  <w:marRight w:val="0"/>
                  <w:marTop w:val="0"/>
                  <w:marBottom w:val="0"/>
                  <w:divBdr>
                    <w:top w:val="none" w:sz="0" w:space="0" w:color="auto"/>
                    <w:left w:val="none" w:sz="0" w:space="0" w:color="auto"/>
                    <w:bottom w:val="none" w:sz="0" w:space="0" w:color="auto"/>
                    <w:right w:val="none" w:sz="0" w:space="0" w:color="auto"/>
                  </w:divBdr>
                  <w:divsChild>
                    <w:div w:id="3309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170412">
      <w:bodyDiv w:val="1"/>
      <w:marLeft w:val="0"/>
      <w:marRight w:val="0"/>
      <w:marTop w:val="0"/>
      <w:marBottom w:val="0"/>
      <w:divBdr>
        <w:top w:val="none" w:sz="0" w:space="0" w:color="auto"/>
        <w:left w:val="none" w:sz="0" w:space="0" w:color="auto"/>
        <w:bottom w:val="none" w:sz="0" w:space="0" w:color="auto"/>
        <w:right w:val="none" w:sz="0" w:space="0" w:color="auto"/>
      </w:divBdr>
    </w:div>
    <w:div w:id="357242459">
      <w:bodyDiv w:val="1"/>
      <w:marLeft w:val="0"/>
      <w:marRight w:val="0"/>
      <w:marTop w:val="0"/>
      <w:marBottom w:val="0"/>
      <w:divBdr>
        <w:top w:val="none" w:sz="0" w:space="0" w:color="auto"/>
        <w:left w:val="none" w:sz="0" w:space="0" w:color="auto"/>
        <w:bottom w:val="none" w:sz="0" w:space="0" w:color="auto"/>
        <w:right w:val="none" w:sz="0" w:space="0" w:color="auto"/>
      </w:divBdr>
    </w:div>
    <w:div w:id="742027389">
      <w:bodyDiv w:val="1"/>
      <w:marLeft w:val="0"/>
      <w:marRight w:val="0"/>
      <w:marTop w:val="0"/>
      <w:marBottom w:val="0"/>
      <w:divBdr>
        <w:top w:val="none" w:sz="0" w:space="0" w:color="auto"/>
        <w:left w:val="none" w:sz="0" w:space="0" w:color="auto"/>
        <w:bottom w:val="none" w:sz="0" w:space="0" w:color="auto"/>
        <w:right w:val="none" w:sz="0" w:space="0" w:color="auto"/>
      </w:divBdr>
      <w:divsChild>
        <w:div w:id="780494329">
          <w:marLeft w:val="0"/>
          <w:marRight w:val="0"/>
          <w:marTop w:val="0"/>
          <w:marBottom w:val="0"/>
          <w:divBdr>
            <w:top w:val="none" w:sz="0" w:space="0" w:color="auto"/>
            <w:left w:val="none" w:sz="0" w:space="0" w:color="auto"/>
            <w:bottom w:val="none" w:sz="0" w:space="0" w:color="auto"/>
            <w:right w:val="none" w:sz="0" w:space="0" w:color="auto"/>
          </w:divBdr>
          <w:divsChild>
            <w:div w:id="2024015493">
              <w:marLeft w:val="0"/>
              <w:marRight w:val="0"/>
              <w:marTop w:val="0"/>
              <w:marBottom w:val="0"/>
              <w:divBdr>
                <w:top w:val="none" w:sz="0" w:space="0" w:color="auto"/>
                <w:left w:val="none" w:sz="0" w:space="0" w:color="auto"/>
                <w:bottom w:val="none" w:sz="0" w:space="0" w:color="auto"/>
                <w:right w:val="none" w:sz="0" w:space="0" w:color="auto"/>
              </w:divBdr>
              <w:divsChild>
                <w:div w:id="2011827347">
                  <w:marLeft w:val="0"/>
                  <w:marRight w:val="0"/>
                  <w:marTop w:val="0"/>
                  <w:marBottom w:val="0"/>
                  <w:divBdr>
                    <w:top w:val="none" w:sz="0" w:space="0" w:color="auto"/>
                    <w:left w:val="none" w:sz="0" w:space="0" w:color="auto"/>
                    <w:bottom w:val="none" w:sz="0" w:space="0" w:color="auto"/>
                    <w:right w:val="none" w:sz="0" w:space="0" w:color="auto"/>
                  </w:divBdr>
                  <w:divsChild>
                    <w:div w:id="918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101624">
          <w:marLeft w:val="0"/>
          <w:marRight w:val="0"/>
          <w:marTop w:val="0"/>
          <w:marBottom w:val="0"/>
          <w:divBdr>
            <w:top w:val="none" w:sz="0" w:space="0" w:color="auto"/>
            <w:left w:val="none" w:sz="0" w:space="0" w:color="auto"/>
            <w:bottom w:val="none" w:sz="0" w:space="0" w:color="auto"/>
            <w:right w:val="none" w:sz="0" w:space="0" w:color="auto"/>
          </w:divBdr>
          <w:divsChild>
            <w:div w:id="1034311287">
              <w:marLeft w:val="0"/>
              <w:marRight w:val="0"/>
              <w:marTop w:val="0"/>
              <w:marBottom w:val="0"/>
              <w:divBdr>
                <w:top w:val="none" w:sz="0" w:space="0" w:color="auto"/>
                <w:left w:val="none" w:sz="0" w:space="0" w:color="auto"/>
                <w:bottom w:val="none" w:sz="0" w:space="0" w:color="auto"/>
                <w:right w:val="none" w:sz="0" w:space="0" w:color="auto"/>
              </w:divBdr>
              <w:divsChild>
                <w:div w:id="1162889870">
                  <w:marLeft w:val="0"/>
                  <w:marRight w:val="0"/>
                  <w:marTop w:val="0"/>
                  <w:marBottom w:val="0"/>
                  <w:divBdr>
                    <w:top w:val="none" w:sz="0" w:space="0" w:color="auto"/>
                    <w:left w:val="none" w:sz="0" w:space="0" w:color="auto"/>
                    <w:bottom w:val="none" w:sz="0" w:space="0" w:color="auto"/>
                    <w:right w:val="none" w:sz="0" w:space="0" w:color="auto"/>
                  </w:divBdr>
                  <w:divsChild>
                    <w:div w:id="9643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69637">
      <w:bodyDiv w:val="1"/>
      <w:marLeft w:val="0"/>
      <w:marRight w:val="0"/>
      <w:marTop w:val="0"/>
      <w:marBottom w:val="0"/>
      <w:divBdr>
        <w:top w:val="none" w:sz="0" w:space="0" w:color="auto"/>
        <w:left w:val="none" w:sz="0" w:space="0" w:color="auto"/>
        <w:bottom w:val="none" w:sz="0" w:space="0" w:color="auto"/>
        <w:right w:val="none" w:sz="0" w:space="0" w:color="auto"/>
      </w:divBdr>
    </w:div>
    <w:div w:id="1133138175">
      <w:bodyDiv w:val="1"/>
      <w:marLeft w:val="0"/>
      <w:marRight w:val="0"/>
      <w:marTop w:val="0"/>
      <w:marBottom w:val="0"/>
      <w:divBdr>
        <w:top w:val="none" w:sz="0" w:space="0" w:color="auto"/>
        <w:left w:val="none" w:sz="0" w:space="0" w:color="auto"/>
        <w:bottom w:val="none" w:sz="0" w:space="0" w:color="auto"/>
        <w:right w:val="none" w:sz="0" w:space="0" w:color="auto"/>
      </w:divBdr>
    </w:div>
    <w:div w:id="1413090605">
      <w:bodyDiv w:val="1"/>
      <w:marLeft w:val="0"/>
      <w:marRight w:val="0"/>
      <w:marTop w:val="0"/>
      <w:marBottom w:val="0"/>
      <w:divBdr>
        <w:top w:val="none" w:sz="0" w:space="0" w:color="auto"/>
        <w:left w:val="none" w:sz="0" w:space="0" w:color="auto"/>
        <w:bottom w:val="none" w:sz="0" w:space="0" w:color="auto"/>
        <w:right w:val="none" w:sz="0" w:space="0" w:color="auto"/>
      </w:divBdr>
      <w:divsChild>
        <w:div w:id="1891261599">
          <w:marLeft w:val="0"/>
          <w:marRight w:val="0"/>
          <w:marTop w:val="0"/>
          <w:marBottom w:val="0"/>
          <w:divBdr>
            <w:top w:val="none" w:sz="0" w:space="0" w:color="auto"/>
            <w:left w:val="none" w:sz="0" w:space="0" w:color="auto"/>
            <w:bottom w:val="none" w:sz="0" w:space="0" w:color="auto"/>
            <w:right w:val="none" w:sz="0" w:space="0" w:color="auto"/>
          </w:divBdr>
          <w:divsChild>
            <w:div w:id="1717504854">
              <w:marLeft w:val="0"/>
              <w:marRight w:val="0"/>
              <w:marTop w:val="0"/>
              <w:marBottom w:val="0"/>
              <w:divBdr>
                <w:top w:val="none" w:sz="0" w:space="0" w:color="auto"/>
                <w:left w:val="none" w:sz="0" w:space="0" w:color="auto"/>
                <w:bottom w:val="none" w:sz="0" w:space="0" w:color="auto"/>
                <w:right w:val="none" w:sz="0" w:space="0" w:color="auto"/>
              </w:divBdr>
              <w:divsChild>
                <w:div w:id="125004780">
                  <w:marLeft w:val="0"/>
                  <w:marRight w:val="0"/>
                  <w:marTop w:val="0"/>
                  <w:marBottom w:val="0"/>
                  <w:divBdr>
                    <w:top w:val="none" w:sz="0" w:space="0" w:color="auto"/>
                    <w:left w:val="none" w:sz="0" w:space="0" w:color="auto"/>
                    <w:bottom w:val="none" w:sz="0" w:space="0" w:color="auto"/>
                    <w:right w:val="none" w:sz="0" w:space="0" w:color="auto"/>
                  </w:divBdr>
                  <w:divsChild>
                    <w:div w:id="2048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547">
          <w:marLeft w:val="0"/>
          <w:marRight w:val="0"/>
          <w:marTop w:val="0"/>
          <w:marBottom w:val="0"/>
          <w:divBdr>
            <w:top w:val="none" w:sz="0" w:space="0" w:color="auto"/>
            <w:left w:val="none" w:sz="0" w:space="0" w:color="auto"/>
            <w:bottom w:val="none" w:sz="0" w:space="0" w:color="auto"/>
            <w:right w:val="none" w:sz="0" w:space="0" w:color="auto"/>
          </w:divBdr>
          <w:divsChild>
            <w:div w:id="893269799">
              <w:marLeft w:val="0"/>
              <w:marRight w:val="0"/>
              <w:marTop w:val="0"/>
              <w:marBottom w:val="0"/>
              <w:divBdr>
                <w:top w:val="none" w:sz="0" w:space="0" w:color="auto"/>
                <w:left w:val="none" w:sz="0" w:space="0" w:color="auto"/>
                <w:bottom w:val="none" w:sz="0" w:space="0" w:color="auto"/>
                <w:right w:val="none" w:sz="0" w:space="0" w:color="auto"/>
              </w:divBdr>
              <w:divsChild>
                <w:div w:id="1448768431">
                  <w:marLeft w:val="0"/>
                  <w:marRight w:val="0"/>
                  <w:marTop w:val="0"/>
                  <w:marBottom w:val="0"/>
                  <w:divBdr>
                    <w:top w:val="none" w:sz="0" w:space="0" w:color="auto"/>
                    <w:left w:val="none" w:sz="0" w:space="0" w:color="auto"/>
                    <w:bottom w:val="none" w:sz="0" w:space="0" w:color="auto"/>
                    <w:right w:val="none" w:sz="0" w:space="0" w:color="auto"/>
                  </w:divBdr>
                  <w:divsChild>
                    <w:div w:id="15333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550315">
      <w:bodyDiv w:val="1"/>
      <w:marLeft w:val="0"/>
      <w:marRight w:val="0"/>
      <w:marTop w:val="0"/>
      <w:marBottom w:val="0"/>
      <w:divBdr>
        <w:top w:val="none" w:sz="0" w:space="0" w:color="auto"/>
        <w:left w:val="none" w:sz="0" w:space="0" w:color="auto"/>
        <w:bottom w:val="none" w:sz="0" w:space="0" w:color="auto"/>
        <w:right w:val="none" w:sz="0" w:space="0" w:color="auto"/>
      </w:divBdr>
    </w:div>
    <w:div w:id="1791314681">
      <w:bodyDiv w:val="1"/>
      <w:marLeft w:val="0"/>
      <w:marRight w:val="0"/>
      <w:marTop w:val="0"/>
      <w:marBottom w:val="0"/>
      <w:divBdr>
        <w:top w:val="none" w:sz="0" w:space="0" w:color="auto"/>
        <w:left w:val="none" w:sz="0" w:space="0" w:color="auto"/>
        <w:bottom w:val="none" w:sz="0" w:space="0" w:color="auto"/>
        <w:right w:val="none" w:sz="0" w:space="0" w:color="auto"/>
      </w:divBdr>
    </w:div>
    <w:div w:id="1804537916">
      <w:bodyDiv w:val="1"/>
      <w:marLeft w:val="0"/>
      <w:marRight w:val="0"/>
      <w:marTop w:val="0"/>
      <w:marBottom w:val="0"/>
      <w:divBdr>
        <w:top w:val="none" w:sz="0" w:space="0" w:color="auto"/>
        <w:left w:val="none" w:sz="0" w:space="0" w:color="auto"/>
        <w:bottom w:val="none" w:sz="0" w:space="0" w:color="auto"/>
        <w:right w:val="none" w:sz="0" w:space="0" w:color="auto"/>
      </w:divBdr>
      <w:divsChild>
        <w:div w:id="1098797310">
          <w:marLeft w:val="0"/>
          <w:marRight w:val="0"/>
          <w:marTop w:val="0"/>
          <w:marBottom w:val="0"/>
          <w:divBdr>
            <w:top w:val="none" w:sz="0" w:space="0" w:color="auto"/>
            <w:left w:val="none" w:sz="0" w:space="0" w:color="auto"/>
            <w:bottom w:val="none" w:sz="0" w:space="0" w:color="auto"/>
            <w:right w:val="none" w:sz="0" w:space="0" w:color="auto"/>
          </w:divBdr>
          <w:divsChild>
            <w:div w:id="1757747820">
              <w:marLeft w:val="0"/>
              <w:marRight w:val="0"/>
              <w:marTop w:val="0"/>
              <w:marBottom w:val="0"/>
              <w:divBdr>
                <w:top w:val="none" w:sz="0" w:space="0" w:color="auto"/>
                <w:left w:val="none" w:sz="0" w:space="0" w:color="auto"/>
                <w:bottom w:val="none" w:sz="0" w:space="0" w:color="auto"/>
                <w:right w:val="none" w:sz="0" w:space="0" w:color="auto"/>
              </w:divBdr>
              <w:divsChild>
                <w:div w:id="937559767">
                  <w:marLeft w:val="0"/>
                  <w:marRight w:val="0"/>
                  <w:marTop w:val="0"/>
                  <w:marBottom w:val="0"/>
                  <w:divBdr>
                    <w:top w:val="none" w:sz="0" w:space="0" w:color="auto"/>
                    <w:left w:val="none" w:sz="0" w:space="0" w:color="auto"/>
                    <w:bottom w:val="none" w:sz="0" w:space="0" w:color="auto"/>
                    <w:right w:val="none" w:sz="0" w:space="0" w:color="auto"/>
                  </w:divBdr>
                  <w:divsChild>
                    <w:div w:id="13888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366">
          <w:marLeft w:val="0"/>
          <w:marRight w:val="0"/>
          <w:marTop w:val="0"/>
          <w:marBottom w:val="0"/>
          <w:divBdr>
            <w:top w:val="none" w:sz="0" w:space="0" w:color="auto"/>
            <w:left w:val="none" w:sz="0" w:space="0" w:color="auto"/>
            <w:bottom w:val="none" w:sz="0" w:space="0" w:color="auto"/>
            <w:right w:val="none" w:sz="0" w:space="0" w:color="auto"/>
          </w:divBdr>
          <w:divsChild>
            <w:div w:id="1569805029">
              <w:marLeft w:val="0"/>
              <w:marRight w:val="0"/>
              <w:marTop w:val="0"/>
              <w:marBottom w:val="0"/>
              <w:divBdr>
                <w:top w:val="none" w:sz="0" w:space="0" w:color="auto"/>
                <w:left w:val="none" w:sz="0" w:space="0" w:color="auto"/>
                <w:bottom w:val="none" w:sz="0" w:space="0" w:color="auto"/>
                <w:right w:val="none" w:sz="0" w:space="0" w:color="auto"/>
              </w:divBdr>
              <w:divsChild>
                <w:div w:id="1556431565">
                  <w:marLeft w:val="0"/>
                  <w:marRight w:val="0"/>
                  <w:marTop w:val="0"/>
                  <w:marBottom w:val="0"/>
                  <w:divBdr>
                    <w:top w:val="none" w:sz="0" w:space="0" w:color="auto"/>
                    <w:left w:val="none" w:sz="0" w:space="0" w:color="auto"/>
                    <w:bottom w:val="none" w:sz="0" w:space="0" w:color="auto"/>
                    <w:right w:val="none" w:sz="0" w:space="0" w:color="auto"/>
                  </w:divBdr>
                  <w:divsChild>
                    <w:div w:id="13196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323</TotalTime>
  <Pages>5</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50</cp:revision>
  <cp:lastPrinted>2024-10-24T04:48:00Z</cp:lastPrinted>
  <dcterms:created xsi:type="dcterms:W3CDTF">2024-05-10T08:55:00Z</dcterms:created>
  <dcterms:modified xsi:type="dcterms:W3CDTF">2024-12-09T08:05:00Z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