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5066" w:rsidRPr="005E2165" w:rsidRDefault="005E2165">
      <w:pPr>
        <w:spacing w:after="60" w:line="360" w:lineRule="auto"/>
        <w:jc w:val="center"/>
      </w:pPr>
      <w:r w:rsidRPr="005E2165">
        <w:rPr>
          <w:b/>
          <w:bCs/>
          <w:sz w:val="24"/>
          <w:szCs w:val="24"/>
        </w:rPr>
        <w:t>Investment Banking</w:t>
      </w:r>
    </w:p>
    <w:p w:rsidR="00435066" w:rsidRPr="005E2165" w:rsidRDefault="005E2165">
      <w:pPr>
        <w:spacing w:after="300" w:line="360" w:lineRule="auto"/>
        <w:jc w:val="center"/>
        <w:rPr>
          <w:b/>
          <w:bCs/>
          <w:sz w:val="24"/>
          <w:szCs w:val="24"/>
        </w:rPr>
      </w:pPr>
      <w:r w:rsidRPr="005E2165">
        <w:rPr>
          <w:b/>
          <w:bCs/>
          <w:sz w:val="24"/>
          <w:szCs w:val="24"/>
        </w:rPr>
        <w:t>Dec 2026 Examination</w:t>
      </w:r>
    </w:p>
    <w:p w:rsidR="005E2165" w:rsidRPr="005E2165" w:rsidRDefault="005E2165">
      <w:pPr>
        <w:spacing w:after="300" w:line="360" w:lineRule="auto"/>
        <w:jc w:val="center"/>
      </w:pPr>
    </w:p>
    <w:p w:rsidR="00435066" w:rsidRPr="005E2165" w:rsidRDefault="005E2165">
      <w:pPr>
        <w:spacing w:after="200" w:line="360" w:lineRule="auto"/>
        <w:jc w:val="both"/>
      </w:pPr>
      <w:r w:rsidRPr="005E2165">
        <w:rPr>
          <w:b/>
          <w:bCs/>
          <w:iCs/>
          <w:sz w:val="24"/>
          <w:szCs w:val="24"/>
        </w:rPr>
        <w:t>Q1 Tech Innovate Ltd., a unicorn start-up in the artificial intelligence sector, plans to raise $500 million for a major product launch and global expansion. Investment banks pitch both syndication and underwriting options. Tech Innovate's management values fast execution, but is wary of market risks and skeptical about ceding too much control to outside financiers. Industry peers have faced volatile IPO debuts and loan syndicates with complex terms. The company is seeking advice on structuring the capital raise optimally. Using your knowledge of syndication and underwriting mechanisms, apply relevant structuring frameworks to propose the most appropriate approach for Tech Innovate Ltd. How should the investment bank address execution speed, risk allocation, cost, and control issues in structuring the financing for this high-growth but risk-sensitive company? (10 Marks)</w:t>
      </w:r>
    </w:p>
    <w:p w:rsidR="00435066" w:rsidRPr="005E2165" w:rsidRDefault="005E2165">
      <w:pPr>
        <w:spacing w:before="240" w:after="120" w:line="360" w:lineRule="auto"/>
      </w:pPr>
      <w:proofErr w:type="gramStart"/>
      <w:r w:rsidRPr="005E2165">
        <w:rPr>
          <w:b/>
          <w:bCs/>
          <w:sz w:val="24"/>
          <w:szCs w:val="24"/>
        </w:rPr>
        <w:t>Ans 1.</w:t>
      </w:r>
      <w:proofErr w:type="gramEnd"/>
    </w:p>
    <w:p w:rsidR="00435066" w:rsidRPr="005E2165" w:rsidRDefault="005E2165">
      <w:pPr>
        <w:spacing w:before="160" w:after="80" w:line="360" w:lineRule="auto"/>
      </w:pPr>
      <w:r w:rsidRPr="005E2165">
        <w:rPr>
          <w:b/>
          <w:bCs/>
          <w:sz w:val="24"/>
          <w:szCs w:val="24"/>
        </w:rPr>
        <w:t>Introduction</w:t>
      </w:r>
    </w:p>
    <w:p w:rsidR="00435066" w:rsidRPr="005E2165" w:rsidRDefault="005E2165">
      <w:pPr>
        <w:spacing w:after="160" w:line="360" w:lineRule="auto"/>
        <w:jc w:val="both"/>
      </w:pPr>
      <w:r w:rsidRPr="005E2165">
        <w:rPr>
          <w:sz w:val="24"/>
          <w:szCs w:val="24"/>
        </w:rPr>
        <w:t>Tech Innovate Ltd. currently sits at an uncomfortable intersection, needing fast, large-scale capital for a global product launch while remaining wary of ceding control and exposed to the market volatility other high-growth peers have already experienced. Choosing between syndication and underwriting is therefore not just a financing mechanics decision but a genuinely strategic one, since each route allocates execution risk, cost, and control quite differently between the company and its investment banking partners.</w:t>
      </w:r>
    </w:p>
    <w:p w:rsidR="00435066" w:rsidRPr="005E2165" w:rsidRDefault="005E2165">
      <w:pPr>
        <w:spacing w:before="160" w:after="80" w:line="360" w:lineRule="auto"/>
      </w:pPr>
      <w:r w:rsidRPr="005E2165">
        <w:rPr>
          <w:b/>
          <w:bCs/>
          <w:sz w:val="24"/>
          <w:szCs w:val="24"/>
        </w:rPr>
        <w:t>Concept and Application</w:t>
      </w:r>
    </w:p>
    <w:p w:rsidR="00435066" w:rsidRPr="005E2165" w:rsidRDefault="005E2165">
      <w:pPr>
        <w:spacing w:before="160" w:after="80" w:line="360" w:lineRule="auto"/>
      </w:pPr>
      <w:r w:rsidRPr="005E2165">
        <w:rPr>
          <w:b/>
          <w:bCs/>
          <w:sz w:val="24"/>
          <w:szCs w:val="24"/>
        </w:rPr>
        <w:t>Syndication Route</w:t>
      </w:r>
    </w:p>
    <w:p w:rsidR="00435066" w:rsidRPr="005E2165" w:rsidRDefault="005E2165" w:rsidP="000C5753">
      <w:pPr>
        <w:spacing w:after="160" w:line="360" w:lineRule="auto"/>
        <w:jc w:val="both"/>
      </w:pPr>
      <w:r w:rsidRPr="005E2165">
        <w:rPr>
          <w:sz w:val="24"/>
          <w:szCs w:val="24"/>
        </w:rPr>
        <w:t xml:space="preserve">Loan syndication brings together a group of lenders, led by an arranging bank, to jointly fund the </w:t>
      </w:r>
    </w:p>
    <w:p w:rsidR="005E2165" w:rsidRDefault="005E2165"/>
    <w:p w:rsidR="000C5753" w:rsidRPr="00232331" w:rsidRDefault="005E2165" w:rsidP="000C5753">
      <w:pPr>
        <w:shd w:val="clear" w:color="auto" w:fill="FFFFFF"/>
        <w:spacing w:line="276" w:lineRule="auto"/>
        <w:jc w:val="center"/>
        <w:rPr>
          <w:rFonts w:ascii="Arial" w:eastAsia="Calibri" w:hAnsi="Arial"/>
          <w:color w:val="222222"/>
          <w:lang w:val="en-IN"/>
        </w:rPr>
      </w:pPr>
      <w:r w:rsidRPr="005E2165">
        <w:br/>
      </w:r>
      <w:proofErr w:type="gramStart"/>
      <w:r w:rsidR="000C5753" w:rsidRPr="00232331">
        <w:rPr>
          <w:rFonts w:ascii="Georgia" w:eastAsia="Calibri" w:hAnsi="Georgia"/>
          <w:color w:val="000000"/>
          <w:sz w:val="33"/>
          <w:szCs w:val="33"/>
          <w:highlight w:val="cyan"/>
          <w:shd w:val="clear" w:color="auto" w:fill="FF0000"/>
          <w:lang w:val="en-IN"/>
        </w:rPr>
        <w:t>Its</w:t>
      </w:r>
      <w:proofErr w:type="gramEnd"/>
      <w:r w:rsidR="000C5753" w:rsidRPr="00232331">
        <w:rPr>
          <w:rFonts w:ascii="Georgia" w:eastAsia="Calibri" w:hAnsi="Georgia"/>
          <w:color w:val="000000"/>
          <w:sz w:val="33"/>
          <w:szCs w:val="33"/>
          <w:highlight w:val="cyan"/>
          <w:shd w:val="clear" w:color="auto" w:fill="FF0000"/>
          <w:lang w:val="en-IN"/>
        </w:rPr>
        <w:t xml:space="preserve"> Half solved only</w:t>
      </w:r>
    </w:p>
    <w:p w:rsidR="000C5753" w:rsidRPr="00232331" w:rsidRDefault="000C5753" w:rsidP="000C5753">
      <w:pPr>
        <w:shd w:val="clear" w:color="auto" w:fill="FFFFFF"/>
        <w:spacing w:before="240" w:after="240" w:line="276" w:lineRule="auto"/>
        <w:jc w:val="center"/>
        <w:rPr>
          <w:rFonts w:ascii="Georgia" w:eastAsia="Calibri" w:hAnsi="Georgia"/>
          <w:sz w:val="40"/>
          <w:szCs w:val="33"/>
          <w:shd w:val="clear" w:color="auto" w:fill="FFFF00"/>
          <w:lang w:val="en-IN"/>
        </w:rPr>
      </w:pPr>
      <w:r w:rsidRPr="00232331">
        <w:rPr>
          <w:rFonts w:ascii="Georgia" w:eastAsia="Calibri" w:hAnsi="Georgia"/>
          <w:sz w:val="40"/>
          <w:szCs w:val="33"/>
          <w:shd w:val="clear" w:color="auto" w:fill="FFFF00"/>
          <w:lang w:val="en-IN"/>
        </w:rPr>
        <w:lastRenderedPageBreak/>
        <w:t xml:space="preserve">Buy </w:t>
      </w:r>
      <w:proofErr w:type="gramStart"/>
      <w:r w:rsidRPr="00232331">
        <w:rPr>
          <w:rFonts w:ascii="Georgia" w:eastAsia="Calibri" w:hAnsi="Georgia"/>
          <w:sz w:val="40"/>
          <w:szCs w:val="33"/>
          <w:shd w:val="clear" w:color="auto" w:fill="FFFF00"/>
          <w:lang w:val="en-IN"/>
        </w:rPr>
        <w:t>Complete</w:t>
      </w:r>
      <w:proofErr w:type="gramEnd"/>
      <w:r w:rsidRPr="00232331">
        <w:rPr>
          <w:rFonts w:ascii="Georgia" w:eastAsia="Calibri" w:hAnsi="Georgia"/>
          <w:sz w:val="40"/>
          <w:szCs w:val="33"/>
          <w:shd w:val="clear" w:color="auto" w:fill="FFFF00"/>
          <w:lang w:val="en-IN"/>
        </w:rPr>
        <w:t xml:space="preserve"> assignment from us</w:t>
      </w:r>
    </w:p>
    <w:p w:rsidR="000C5753" w:rsidRPr="00232331" w:rsidRDefault="000C5753" w:rsidP="000C5753">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232331">
        <w:rPr>
          <w:rFonts w:ascii="Georgia" w:eastAsia="Calibri" w:hAnsi="Georgia"/>
          <w:b/>
          <w:color w:val="222222"/>
          <w:sz w:val="33"/>
          <w:szCs w:val="33"/>
          <w:shd w:val="clear" w:color="auto" w:fill="FFFF00"/>
          <w:lang w:val="en-IN"/>
        </w:rPr>
        <w:t>Price – 190</w:t>
      </w:r>
      <w:proofErr w:type="gramStart"/>
      <w:r w:rsidRPr="00232331">
        <w:rPr>
          <w:rFonts w:ascii="Georgia" w:eastAsia="Calibri" w:hAnsi="Georgia"/>
          <w:b/>
          <w:color w:val="222222"/>
          <w:sz w:val="33"/>
          <w:szCs w:val="33"/>
          <w:shd w:val="clear" w:color="auto" w:fill="FFFF00"/>
          <w:lang w:val="en-IN"/>
        </w:rPr>
        <w:t>/  assignment</w:t>
      </w:r>
      <w:proofErr w:type="gramEnd"/>
    </w:p>
    <w:p w:rsidR="000C5753" w:rsidRPr="00232331" w:rsidRDefault="000C5753" w:rsidP="000C5753">
      <w:pPr>
        <w:spacing w:before="240" w:after="240" w:line="276" w:lineRule="auto"/>
        <w:jc w:val="center"/>
        <w:rPr>
          <w:rFonts w:ascii="Georgia" w:eastAsia="Calibri" w:hAnsi="Georgia"/>
          <w:b/>
          <w:bCs/>
          <w:color w:val="FFFFFF"/>
          <w:sz w:val="36"/>
          <w:szCs w:val="36"/>
          <w:shd w:val="clear" w:color="auto" w:fill="FFFF00"/>
          <w:lang w:val="en-IN"/>
        </w:rPr>
      </w:pPr>
      <w:r w:rsidRPr="00232331">
        <w:rPr>
          <w:rFonts w:ascii="Georgia" w:eastAsia="Calibri" w:hAnsi="Georgia"/>
          <w:b/>
          <w:sz w:val="40"/>
          <w:szCs w:val="40"/>
          <w:highlight w:val="yellow"/>
          <w:lang w:val="en-IN"/>
        </w:rPr>
        <w:t>NMIMS Online University</w:t>
      </w:r>
      <w:r w:rsidRPr="00232331">
        <w:rPr>
          <w:rFonts w:ascii="Georgia" w:eastAsia="Calibri" w:hAnsi="Georgia"/>
          <w:b/>
          <w:color w:val="222222"/>
          <w:sz w:val="33"/>
          <w:szCs w:val="33"/>
          <w:highlight w:val="yellow"/>
          <w:shd w:val="clear" w:color="auto" w:fill="FFFF00"/>
          <w:lang w:val="en-IN"/>
        </w:rPr>
        <w:t xml:space="preserve"> </w:t>
      </w:r>
      <w:r w:rsidRPr="00232331">
        <w:rPr>
          <w:rFonts w:ascii="Georgia" w:eastAsia="Calibri" w:hAnsi="Georgia"/>
          <w:b/>
          <w:sz w:val="36"/>
          <w:szCs w:val="36"/>
          <w:lang w:val="en-IN"/>
        </w:rPr>
        <w:t xml:space="preserve">Complete </w:t>
      </w:r>
      <w:proofErr w:type="gramStart"/>
      <w:r w:rsidRPr="00232331">
        <w:rPr>
          <w:rFonts w:ascii="Georgia" w:eastAsia="Calibri" w:hAnsi="Georgia"/>
          <w:b/>
          <w:sz w:val="36"/>
          <w:szCs w:val="36"/>
          <w:lang w:val="en-IN"/>
        </w:rPr>
        <w:t>SolvedAssignments</w:t>
      </w:r>
      <w:r w:rsidRPr="00232331">
        <w:rPr>
          <w:rFonts w:ascii="Georgia" w:eastAsia="Calibri" w:hAnsi="Georgia"/>
          <w:b/>
          <w:color w:val="FF0000"/>
          <w:sz w:val="36"/>
          <w:szCs w:val="36"/>
          <w:lang w:val="en-IN"/>
        </w:rPr>
        <w:t xml:space="preserve">  </w:t>
      </w:r>
      <w:r w:rsidRPr="00232331">
        <w:rPr>
          <w:rFonts w:ascii="Georgia" w:eastAsia="Calibri" w:hAnsi="Georgia"/>
          <w:b/>
          <w:bCs/>
          <w:color w:val="FFFFFF"/>
          <w:sz w:val="36"/>
          <w:szCs w:val="36"/>
          <w:highlight w:val="red"/>
          <w:shd w:val="clear" w:color="auto" w:fill="FFFF00"/>
          <w:lang w:val="en-IN"/>
        </w:rPr>
        <w:t>session</w:t>
      </w:r>
      <w:proofErr w:type="gramEnd"/>
      <w:r w:rsidRPr="00232331">
        <w:rPr>
          <w:rFonts w:ascii="Georgia" w:eastAsia="Calibri" w:hAnsi="Georgia"/>
          <w:b/>
          <w:bCs/>
          <w:color w:val="FFFFFF"/>
          <w:sz w:val="36"/>
          <w:szCs w:val="36"/>
          <w:highlight w:val="red"/>
          <w:shd w:val="clear" w:color="auto" w:fill="FFFF00"/>
          <w:lang w:val="en-IN"/>
        </w:rPr>
        <w:t xml:space="preserve"> DEC  2026</w:t>
      </w:r>
    </w:p>
    <w:p w:rsidR="000C5753" w:rsidRPr="00232331" w:rsidRDefault="000C5753" w:rsidP="000C5753">
      <w:pPr>
        <w:spacing w:before="240" w:after="240" w:line="276" w:lineRule="auto"/>
        <w:jc w:val="center"/>
        <w:rPr>
          <w:rFonts w:ascii="Georgia" w:eastAsia="Calibri" w:hAnsi="Georgia"/>
          <w:b/>
          <w:sz w:val="36"/>
          <w:szCs w:val="36"/>
          <w:lang w:val="en-IN"/>
        </w:rPr>
      </w:pPr>
      <w:r w:rsidRPr="00232331">
        <w:rPr>
          <w:rFonts w:ascii="Georgia" w:eastAsia="Calibri" w:hAnsi="Georgia"/>
          <w:b/>
          <w:sz w:val="36"/>
          <w:szCs w:val="36"/>
          <w:highlight w:val="cyan"/>
          <w:lang w:val="en-IN"/>
        </w:rPr>
        <w:t>Last date 28 Oct 2026</w:t>
      </w:r>
    </w:p>
    <w:p w:rsidR="000C5753" w:rsidRPr="00232331" w:rsidRDefault="000C5753" w:rsidP="000C5753">
      <w:pPr>
        <w:spacing w:before="240" w:after="240" w:line="276" w:lineRule="auto"/>
        <w:jc w:val="center"/>
        <w:rPr>
          <w:rFonts w:ascii="Georgia" w:eastAsia="Calibri" w:hAnsi="Georgia"/>
          <w:sz w:val="32"/>
          <w:szCs w:val="32"/>
          <w:lang w:val="en-IN"/>
        </w:rPr>
      </w:pPr>
      <w:proofErr w:type="gramStart"/>
      <w:r w:rsidRPr="00232331">
        <w:rPr>
          <w:rFonts w:ascii="Georgia" w:eastAsia="Calibri" w:hAnsi="Georgia"/>
          <w:sz w:val="32"/>
          <w:szCs w:val="32"/>
          <w:lang w:val="en-IN"/>
        </w:rPr>
        <w:t>buy</w:t>
      </w:r>
      <w:proofErr w:type="gramEnd"/>
      <w:r w:rsidRPr="00232331">
        <w:rPr>
          <w:rFonts w:ascii="Georgia" w:eastAsia="Calibri" w:hAnsi="Georgia"/>
          <w:sz w:val="32"/>
          <w:szCs w:val="32"/>
          <w:lang w:val="en-IN"/>
        </w:rPr>
        <w:t xml:space="preserve"> cheap assignment help online from us easily</w:t>
      </w:r>
    </w:p>
    <w:p w:rsidR="000C5753" w:rsidRPr="00232331" w:rsidRDefault="000C5753" w:rsidP="000C5753">
      <w:pPr>
        <w:spacing w:before="240" w:after="240" w:line="276" w:lineRule="auto"/>
        <w:jc w:val="center"/>
        <w:rPr>
          <w:rFonts w:ascii="Georgia" w:eastAsia="Calibri" w:hAnsi="Georgia"/>
          <w:sz w:val="32"/>
          <w:szCs w:val="32"/>
          <w:lang w:val="en-GB"/>
        </w:rPr>
      </w:pPr>
      <w:proofErr w:type="gramStart"/>
      <w:r w:rsidRPr="00232331">
        <w:rPr>
          <w:rFonts w:ascii="Georgia" w:eastAsia="Calibri" w:hAnsi="Georgia"/>
          <w:sz w:val="32"/>
          <w:szCs w:val="32"/>
          <w:lang w:val="en-IN"/>
        </w:rPr>
        <w:t>we</w:t>
      </w:r>
      <w:proofErr w:type="gramEnd"/>
      <w:r w:rsidRPr="00232331">
        <w:rPr>
          <w:rFonts w:ascii="Georgia" w:eastAsia="Calibri" w:hAnsi="Georgia"/>
          <w:sz w:val="32"/>
          <w:szCs w:val="32"/>
          <w:lang w:val="en-IN"/>
        </w:rPr>
        <w:t xml:space="preserve"> are here to help you with the best and cheap help </w:t>
      </w:r>
    </w:p>
    <w:p w:rsidR="000C5753" w:rsidRPr="00232331" w:rsidRDefault="000C5753" w:rsidP="000C5753">
      <w:pPr>
        <w:spacing w:before="240" w:after="240" w:line="276" w:lineRule="auto"/>
        <w:jc w:val="center"/>
        <w:rPr>
          <w:rFonts w:ascii="Georgia" w:eastAsia="Calibri" w:hAnsi="Georgia"/>
          <w:b/>
          <w:sz w:val="44"/>
          <w:szCs w:val="44"/>
          <w:lang w:val="en-IN"/>
        </w:rPr>
      </w:pPr>
      <w:r w:rsidRPr="00232331">
        <w:rPr>
          <w:rFonts w:ascii="Georgia" w:eastAsia="Calibri" w:hAnsi="Georgia"/>
          <w:b/>
          <w:sz w:val="36"/>
          <w:szCs w:val="36"/>
          <w:lang w:val="en-IN"/>
        </w:rPr>
        <w:t>Contact No –</w:t>
      </w:r>
      <w:r w:rsidRPr="00232331">
        <w:rPr>
          <w:rFonts w:ascii="Georgia" w:eastAsia="Calibri" w:hAnsi="Georgia"/>
          <w:b/>
          <w:sz w:val="44"/>
          <w:szCs w:val="44"/>
          <w:lang w:val="en-IN"/>
        </w:rPr>
        <w:t xml:space="preserve"> </w:t>
      </w:r>
      <w:r w:rsidRPr="00232331">
        <w:rPr>
          <w:rFonts w:ascii="Georgia" w:eastAsia="Calibri" w:hAnsi="Georgia"/>
          <w:b/>
          <w:sz w:val="40"/>
          <w:szCs w:val="40"/>
          <w:highlight w:val="yellow"/>
          <w:lang w:val="en-IN"/>
        </w:rPr>
        <w:t>8791514139</w:t>
      </w:r>
      <w:r w:rsidRPr="00232331">
        <w:rPr>
          <w:rFonts w:ascii="Georgia" w:eastAsia="Calibri" w:hAnsi="Georgia"/>
          <w:b/>
          <w:sz w:val="40"/>
          <w:szCs w:val="40"/>
          <w:lang w:val="en-IN"/>
        </w:rPr>
        <w:t xml:space="preserve"> (WhatsApp)</w:t>
      </w:r>
    </w:p>
    <w:p w:rsidR="000C5753" w:rsidRPr="00232331" w:rsidRDefault="000C5753" w:rsidP="000C5753">
      <w:pPr>
        <w:spacing w:before="240" w:after="240" w:line="276" w:lineRule="auto"/>
        <w:jc w:val="center"/>
        <w:rPr>
          <w:rFonts w:ascii="Georgia" w:eastAsia="Calibri" w:hAnsi="Georgia"/>
          <w:b/>
          <w:sz w:val="32"/>
          <w:szCs w:val="32"/>
          <w:lang w:val="en-IN"/>
        </w:rPr>
      </w:pPr>
      <w:r w:rsidRPr="00232331">
        <w:rPr>
          <w:rFonts w:ascii="Georgia" w:eastAsia="Calibri" w:hAnsi="Georgia"/>
          <w:b/>
          <w:sz w:val="32"/>
          <w:szCs w:val="32"/>
          <w:lang w:val="en-IN"/>
        </w:rPr>
        <w:t>OR</w:t>
      </w:r>
    </w:p>
    <w:p w:rsidR="000C5753" w:rsidRPr="00232331" w:rsidRDefault="000C5753" w:rsidP="000C5753">
      <w:pPr>
        <w:spacing w:before="240" w:after="240" w:line="276" w:lineRule="auto"/>
        <w:jc w:val="center"/>
        <w:rPr>
          <w:rFonts w:ascii="Georgia" w:eastAsia="Calibri" w:hAnsi="Georgia"/>
          <w:b/>
          <w:sz w:val="32"/>
          <w:szCs w:val="32"/>
          <w:lang w:val="en-IN"/>
        </w:rPr>
      </w:pPr>
      <w:r w:rsidRPr="00232331">
        <w:rPr>
          <w:rFonts w:ascii="Georgia" w:eastAsia="Calibri" w:hAnsi="Georgia"/>
          <w:b/>
          <w:sz w:val="32"/>
          <w:szCs w:val="32"/>
          <w:lang w:val="en-IN"/>
        </w:rPr>
        <w:t>Mail us</w:t>
      </w:r>
      <w:proofErr w:type="gramStart"/>
      <w:r w:rsidRPr="00232331">
        <w:rPr>
          <w:rFonts w:ascii="Georgia" w:eastAsia="Calibri" w:hAnsi="Georgia"/>
          <w:b/>
          <w:sz w:val="32"/>
          <w:szCs w:val="32"/>
          <w:lang w:val="en-IN"/>
        </w:rPr>
        <w:t xml:space="preserve">-  </w:t>
      </w:r>
      <w:proofErr w:type="gramEnd"/>
      <w:r w:rsidRPr="00232331">
        <w:rPr>
          <w:rFonts w:ascii="Calibri" w:eastAsia="Calibri" w:hAnsi="Calibri"/>
          <w:sz w:val="22"/>
          <w:szCs w:val="22"/>
          <w:lang w:val="en-IN"/>
        </w:rPr>
        <w:fldChar w:fldCharType="begin"/>
      </w:r>
      <w:r w:rsidRPr="00232331">
        <w:rPr>
          <w:rFonts w:ascii="Calibri" w:eastAsia="Calibri" w:hAnsi="Calibri"/>
          <w:sz w:val="22"/>
          <w:szCs w:val="22"/>
          <w:lang w:val="en-IN"/>
        </w:rPr>
        <w:instrText>HYPERLINK "mailto:bestassignment247@gmail.com"</w:instrText>
      </w:r>
      <w:r w:rsidRPr="00232331">
        <w:rPr>
          <w:rFonts w:ascii="Calibri" w:eastAsia="Calibri" w:hAnsi="Calibri"/>
          <w:sz w:val="22"/>
          <w:szCs w:val="22"/>
          <w:lang w:val="en-IN"/>
        </w:rPr>
        <w:fldChar w:fldCharType="separate"/>
      </w:r>
      <w:r w:rsidRPr="00232331">
        <w:rPr>
          <w:rFonts w:ascii="Georgia" w:eastAsia="Calibri" w:hAnsi="Georgia"/>
          <w:b/>
          <w:color w:val="0000FF"/>
          <w:sz w:val="32"/>
          <w:szCs w:val="22"/>
          <w:u w:val="single"/>
          <w:lang w:val="en-IN"/>
        </w:rPr>
        <w:t>bestassignment247@gmail.com</w:t>
      </w:r>
      <w:r w:rsidRPr="00232331">
        <w:rPr>
          <w:rFonts w:ascii="Calibri" w:eastAsia="Calibri" w:hAnsi="Calibri"/>
          <w:sz w:val="22"/>
          <w:szCs w:val="22"/>
          <w:lang w:val="en-IN"/>
        </w:rPr>
        <w:fldChar w:fldCharType="end"/>
      </w:r>
    </w:p>
    <w:p w:rsidR="000C5753" w:rsidRPr="00232331" w:rsidRDefault="000C5753" w:rsidP="000C5753">
      <w:pPr>
        <w:spacing w:after="200" w:line="360" w:lineRule="auto"/>
        <w:jc w:val="center"/>
        <w:rPr>
          <w:rFonts w:eastAsia="Calibri"/>
          <w:sz w:val="22"/>
          <w:szCs w:val="22"/>
          <w:lang w:val="en-IN"/>
        </w:rPr>
      </w:pPr>
      <w:r w:rsidRPr="00232331">
        <w:rPr>
          <w:rFonts w:ascii="Georgia" w:eastAsia="Calibri" w:hAnsi="Georgia"/>
          <w:b/>
          <w:sz w:val="32"/>
          <w:szCs w:val="32"/>
          <w:lang w:val="en-IN"/>
        </w:rPr>
        <w:t xml:space="preserve">Our website - </w:t>
      </w:r>
      <w:hyperlink r:id="rId5" w:history="1">
        <w:r w:rsidRPr="00232331">
          <w:rPr>
            <w:rFonts w:ascii="Georgia" w:eastAsia="Calibri" w:hAnsi="Georgia"/>
            <w:b/>
            <w:color w:val="0000FF"/>
            <w:sz w:val="32"/>
            <w:u w:val="single"/>
            <w:lang w:val="en-IN"/>
          </w:rPr>
          <w:t>www.assignmentsupport.in</w:t>
        </w:r>
      </w:hyperlink>
    </w:p>
    <w:p w:rsidR="00435066" w:rsidRPr="005E2165" w:rsidRDefault="00435066"/>
    <w:p w:rsidR="00435066" w:rsidRPr="005E2165" w:rsidRDefault="005E2165">
      <w:pPr>
        <w:spacing w:after="200" w:line="360" w:lineRule="auto"/>
        <w:jc w:val="both"/>
      </w:pPr>
      <w:r w:rsidRPr="005E2165">
        <w:rPr>
          <w:b/>
          <w:bCs/>
          <w:iCs/>
          <w:sz w:val="24"/>
          <w:szCs w:val="24"/>
        </w:rPr>
        <w:t>Q2 (A) A publicly listed corporation with multiple business units is seeking to raise capital and refocus on its fastest-growing segment. The CFO proposes a carve-out of the technology division through an IPO, while some board members advocate for a full spin-off to unlock greater shareholder value. Both options have implications for control, financial gain, regulatory complexity, and market perception. Assess the relative benefits and limitations of a carve-out versus a spin-off for the technology division. Which restructuring strategy would you recommend to maximize both capital influx and strategic focus for the parent company? Provide a justified evaluation, taking into account control, financial needs, regulatory factors, and potential impact on shareholder value. (5 Marks)</w:t>
      </w:r>
    </w:p>
    <w:p w:rsidR="00435066" w:rsidRPr="005E2165" w:rsidRDefault="005E2165">
      <w:pPr>
        <w:spacing w:before="240" w:after="120" w:line="360" w:lineRule="auto"/>
      </w:pPr>
      <w:proofErr w:type="gramStart"/>
      <w:r w:rsidRPr="005E2165">
        <w:rPr>
          <w:b/>
          <w:bCs/>
          <w:sz w:val="24"/>
          <w:szCs w:val="24"/>
        </w:rPr>
        <w:t>Ans 2(A).</w:t>
      </w:r>
      <w:proofErr w:type="gramEnd"/>
    </w:p>
    <w:p w:rsidR="00435066" w:rsidRPr="005E2165" w:rsidRDefault="005E2165">
      <w:pPr>
        <w:spacing w:before="160" w:after="80" w:line="360" w:lineRule="auto"/>
      </w:pPr>
      <w:r w:rsidRPr="005E2165">
        <w:rPr>
          <w:b/>
          <w:bCs/>
          <w:sz w:val="24"/>
          <w:szCs w:val="24"/>
        </w:rPr>
        <w:t>Introduction</w:t>
      </w:r>
    </w:p>
    <w:p w:rsidR="00435066" w:rsidRPr="005E2165" w:rsidRDefault="005E2165" w:rsidP="000C5753">
      <w:pPr>
        <w:spacing w:after="160" w:line="360" w:lineRule="auto"/>
        <w:jc w:val="both"/>
      </w:pPr>
      <w:r w:rsidRPr="005E2165">
        <w:rPr>
          <w:sz w:val="24"/>
          <w:szCs w:val="24"/>
        </w:rPr>
        <w:lastRenderedPageBreak/>
        <w:t xml:space="preserve">A technology division carve-out through an IPO and a full spin-off both aim to unlock value trapped inside a multi-segment corporation, but they achieve this through fundamentally different mechanics with different consequences for capital, control, and strategic focus. Choosing between them requires carefully weighing the parent company's immediate need for fresh capital against the longer-term governance and shareholder value implications that each </w:t>
      </w:r>
    </w:p>
    <w:p w:rsidR="00435066" w:rsidRPr="005E2165" w:rsidRDefault="005E2165">
      <w:r w:rsidRPr="005E2165">
        <w:br/>
      </w:r>
    </w:p>
    <w:p w:rsidR="00435066" w:rsidRPr="005E2165" w:rsidRDefault="005E2165">
      <w:pPr>
        <w:spacing w:after="200" w:line="360" w:lineRule="auto"/>
        <w:jc w:val="both"/>
      </w:pPr>
      <w:r w:rsidRPr="005E2165">
        <w:rPr>
          <w:b/>
          <w:bCs/>
          <w:iCs/>
          <w:sz w:val="24"/>
          <w:szCs w:val="24"/>
        </w:rPr>
        <w:t>Q2 (B) A Brazilian company plans a major international acquisition and must raise significant capital. The CFO is comparing the issuance of high-yield (junk) corporate bonds in foreign markets with the creation of GDRs to attract global equity investors. High-yield bonds may generate quick funds but come with substantial interest costs and heightened risk perception, while GDRs could dilute ownership and expose the company to complex cross-jurisdictional listing requirements. The leadership team seeks an optimal structure that balances financial flexibility and shareholder value. Assess the relative merits and drawbacks of raising capital via high-yield foreign bonds versus issuing Global Depositary Receipts for the Brazilian firm's acquisition strategy. Considering risk, investor expectations, cost of capital, and corporate control, which mechanism would you recommend and why? (5 Marks)</w:t>
      </w:r>
    </w:p>
    <w:p w:rsidR="00435066" w:rsidRPr="005E2165" w:rsidRDefault="005E2165">
      <w:pPr>
        <w:spacing w:before="240" w:after="120" w:line="360" w:lineRule="auto"/>
      </w:pPr>
      <w:proofErr w:type="gramStart"/>
      <w:r w:rsidRPr="005E2165">
        <w:rPr>
          <w:b/>
          <w:bCs/>
          <w:sz w:val="24"/>
          <w:szCs w:val="24"/>
        </w:rPr>
        <w:t>Ans 2(B).</w:t>
      </w:r>
      <w:proofErr w:type="gramEnd"/>
    </w:p>
    <w:p w:rsidR="00435066" w:rsidRPr="005E2165" w:rsidRDefault="005E2165">
      <w:pPr>
        <w:spacing w:before="160" w:after="80" w:line="360" w:lineRule="auto"/>
      </w:pPr>
      <w:r w:rsidRPr="005E2165">
        <w:rPr>
          <w:b/>
          <w:bCs/>
          <w:sz w:val="24"/>
          <w:szCs w:val="24"/>
        </w:rPr>
        <w:t>Introduction</w:t>
      </w:r>
    </w:p>
    <w:p w:rsidR="00435066" w:rsidRPr="005E2165" w:rsidRDefault="005E2165" w:rsidP="000C5753">
      <w:pPr>
        <w:spacing w:after="160" w:line="360" w:lineRule="auto"/>
        <w:jc w:val="both"/>
      </w:pPr>
      <w:r w:rsidRPr="005E2165">
        <w:rPr>
          <w:sz w:val="24"/>
          <w:szCs w:val="24"/>
        </w:rPr>
        <w:t xml:space="preserve">Financing a major international acquisition now forces the Brazilian company's CFO to choose between raising debt through high-yield foreign bonds </w:t>
      </w:r>
      <w:proofErr w:type="gramStart"/>
      <w:r w:rsidRPr="005E2165">
        <w:rPr>
          <w:sz w:val="24"/>
          <w:szCs w:val="24"/>
        </w:rPr>
        <w:t>or</w:t>
      </w:r>
      <w:proofErr w:type="gramEnd"/>
      <w:r w:rsidRPr="005E2165">
        <w:rPr>
          <w:sz w:val="24"/>
          <w:szCs w:val="24"/>
        </w:rPr>
        <w:t xml:space="preserve"> raising equity through Global Depositary Receipts, each offering a different balance of cost, control, and investor expectations. The right choice ultimately depends on how the company weighs near-term financial flexibility </w:t>
      </w:r>
    </w:p>
    <w:sectPr w:rsidR="00435066" w:rsidRPr="005E2165" w:rsidSect="00435066">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8B2D51"/>
    <w:multiLevelType w:val="hybridMultilevel"/>
    <w:tmpl w:val="70969596"/>
    <w:lvl w:ilvl="0" w:tplc="46D85CA2">
      <w:start w:val="1"/>
      <w:numFmt w:val="bullet"/>
      <w:lvlText w:val="●"/>
      <w:lvlJc w:val="left"/>
      <w:pPr>
        <w:ind w:left="720" w:hanging="360"/>
      </w:pPr>
    </w:lvl>
    <w:lvl w:ilvl="1" w:tplc="16EA7944">
      <w:start w:val="1"/>
      <w:numFmt w:val="bullet"/>
      <w:lvlText w:val="○"/>
      <w:lvlJc w:val="left"/>
      <w:pPr>
        <w:ind w:left="1440" w:hanging="360"/>
      </w:pPr>
    </w:lvl>
    <w:lvl w:ilvl="2" w:tplc="A18ACE80">
      <w:start w:val="1"/>
      <w:numFmt w:val="bullet"/>
      <w:lvlText w:val="■"/>
      <w:lvlJc w:val="left"/>
      <w:pPr>
        <w:ind w:left="2160" w:hanging="360"/>
      </w:pPr>
    </w:lvl>
    <w:lvl w:ilvl="3" w:tplc="9468C55C">
      <w:start w:val="1"/>
      <w:numFmt w:val="bullet"/>
      <w:lvlText w:val="●"/>
      <w:lvlJc w:val="left"/>
      <w:pPr>
        <w:ind w:left="2880" w:hanging="360"/>
      </w:pPr>
    </w:lvl>
    <w:lvl w:ilvl="4" w:tplc="E46C7F56">
      <w:start w:val="1"/>
      <w:numFmt w:val="bullet"/>
      <w:lvlText w:val="○"/>
      <w:lvlJc w:val="left"/>
      <w:pPr>
        <w:ind w:left="3600" w:hanging="360"/>
      </w:pPr>
    </w:lvl>
    <w:lvl w:ilvl="5" w:tplc="A1F2332C">
      <w:start w:val="1"/>
      <w:numFmt w:val="bullet"/>
      <w:lvlText w:val="■"/>
      <w:lvlJc w:val="left"/>
      <w:pPr>
        <w:ind w:left="4320" w:hanging="360"/>
      </w:pPr>
    </w:lvl>
    <w:lvl w:ilvl="6" w:tplc="B0683074">
      <w:start w:val="1"/>
      <w:numFmt w:val="bullet"/>
      <w:lvlText w:val="●"/>
      <w:lvlJc w:val="left"/>
      <w:pPr>
        <w:ind w:left="5040" w:hanging="360"/>
      </w:pPr>
    </w:lvl>
    <w:lvl w:ilvl="7" w:tplc="5B30C6C4">
      <w:start w:val="1"/>
      <w:numFmt w:val="bullet"/>
      <w:lvlText w:val="●"/>
      <w:lvlJc w:val="left"/>
      <w:pPr>
        <w:ind w:left="5760" w:hanging="360"/>
      </w:pPr>
    </w:lvl>
    <w:lvl w:ilvl="8" w:tplc="C98EEEF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proofState w:grammar="clean"/>
  <w:defaultTabStop w:val="720"/>
  <w:characterSpacingControl w:val="doNotCompress"/>
  <w:compat/>
  <w:rsids>
    <w:rsidRoot w:val="00435066"/>
    <w:rsid w:val="000C5753"/>
    <w:rsid w:val="00143738"/>
    <w:rsid w:val="00435066"/>
    <w:rsid w:val="005E21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738"/>
  </w:style>
  <w:style w:type="paragraph" w:styleId="Heading1">
    <w:name w:val="heading 1"/>
    <w:qFormat/>
    <w:rsid w:val="00435066"/>
    <w:pPr>
      <w:outlineLvl w:val="0"/>
    </w:pPr>
    <w:rPr>
      <w:color w:val="2E74B5"/>
      <w:sz w:val="32"/>
      <w:szCs w:val="32"/>
    </w:rPr>
  </w:style>
  <w:style w:type="paragraph" w:styleId="Heading2">
    <w:name w:val="heading 2"/>
    <w:qFormat/>
    <w:rsid w:val="00435066"/>
    <w:pPr>
      <w:outlineLvl w:val="1"/>
    </w:pPr>
    <w:rPr>
      <w:color w:val="2E74B5"/>
      <w:sz w:val="26"/>
      <w:szCs w:val="26"/>
    </w:rPr>
  </w:style>
  <w:style w:type="paragraph" w:styleId="Heading3">
    <w:name w:val="heading 3"/>
    <w:qFormat/>
    <w:rsid w:val="00435066"/>
    <w:pPr>
      <w:outlineLvl w:val="2"/>
    </w:pPr>
    <w:rPr>
      <w:color w:val="1F4D78"/>
      <w:sz w:val="24"/>
      <w:szCs w:val="24"/>
    </w:rPr>
  </w:style>
  <w:style w:type="paragraph" w:styleId="Heading4">
    <w:name w:val="heading 4"/>
    <w:qFormat/>
    <w:rsid w:val="00435066"/>
    <w:pPr>
      <w:outlineLvl w:val="3"/>
    </w:pPr>
    <w:rPr>
      <w:i/>
      <w:iCs/>
      <w:color w:val="2E74B5"/>
    </w:rPr>
  </w:style>
  <w:style w:type="paragraph" w:styleId="Heading5">
    <w:name w:val="heading 5"/>
    <w:qFormat/>
    <w:rsid w:val="00435066"/>
    <w:pPr>
      <w:outlineLvl w:val="4"/>
    </w:pPr>
    <w:rPr>
      <w:color w:val="2E74B5"/>
    </w:rPr>
  </w:style>
  <w:style w:type="paragraph" w:styleId="Heading6">
    <w:name w:val="heading 6"/>
    <w:qFormat/>
    <w:rsid w:val="00435066"/>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435066"/>
    <w:rPr>
      <w:sz w:val="56"/>
      <w:szCs w:val="56"/>
    </w:rPr>
  </w:style>
  <w:style w:type="paragraph" w:customStyle="1" w:styleId="Strong1">
    <w:name w:val="Strong1"/>
    <w:qFormat/>
    <w:rsid w:val="00435066"/>
    <w:rPr>
      <w:b/>
      <w:bCs/>
    </w:rPr>
  </w:style>
  <w:style w:type="paragraph" w:styleId="ListParagraph">
    <w:name w:val="List Paragraph"/>
    <w:qFormat/>
    <w:rsid w:val="00435066"/>
  </w:style>
  <w:style w:type="character" w:styleId="Hyperlink">
    <w:name w:val="Hyperlink"/>
    <w:uiPriority w:val="99"/>
    <w:unhideWhenUsed/>
    <w:rsid w:val="00435066"/>
    <w:rPr>
      <w:color w:val="0563C1"/>
      <w:u w:val="single"/>
    </w:rPr>
  </w:style>
  <w:style w:type="character" w:styleId="FootnoteReference">
    <w:name w:val="footnote reference"/>
    <w:uiPriority w:val="99"/>
    <w:semiHidden/>
    <w:unhideWhenUsed/>
    <w:rsid w:val="00435066"/>
    <w:rPr>
      <w:vertAlign w:val="superscript"/>
    </w:rPr>
  </w:style>
  <w:style w:type="paragraph" w:styleId="FootnoteText">
    <w:name w:val="footnote text"/>
    <w:link w:val="FootnoteTextChar"/>
    <w:uiPriority w:val="99"/>
    <w:semiHidden/>
    <w:unhideWhenUsed/>
    <w:rsid w:val="00435066"/>
  </w:style>
  <w:style w:type="character" w:customStyle="1" w:styleId="FootnoteTextChar">
    <w:name w:val="Footnote Text Char"/>
    <w:link w:val="FootnoteText"/>
    <w:uiPriority w:val="99"/>
    <w:semiHidden/>
    <w:unhideWhenUsed/>
    <w:rsid w:val="00435066"/>
    <w:rPr>
      <w:sz w:val="20"/>
      <w:szCs w:val="20"/>
    </w:rPr>
  </w:style>
  <w:style w:type="character" w:styleId="EndnoteReference">
    <w:name w:val="endnote reference"/>
    <w:uiPriority w:val="99"/>
    <w:semiHidden/>
    <w:unhideWhenUsed/>
    <w:rsid w:val="00435066"/>
    <w:rPr>
      <w:vertAlign w:val="superscript"/>
    </w:rPr>
  </w:style>
  <w:style w:type="paragraph" w:styleId="EndnoteText">
    <w:name w:val="endnote text"/>
    <w:link w:val="EndnoteTextChar"/>
    <w:uiPriority w:val="99"/>
    <w:semiHidden/>
    <w:unhideWhenUsed/>
    <w:rsid w:val="00435066"/>
  </w:style>
  <w:style w:type="character" w:customStyle="1" w:styleId="EndnoteTextChar">
    <w:name w:val="Endnote Text Char"/>
    <w:link w:val="EndnoteText"/>
    <w:uiPriority w:val="99"/>
    <w:semiHidden/>
    <w:unhideWhenUsed/>
    <w:rsid w:val="00435066"/>
    <w:rPr>
      <w:sz w:val="20"/>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695</Words>
  <Characters>3968</Characters>
  <Application>Microsoft Office Word</Application>
  <DocSecurity>0</DocSecurity>
  <Lines>33</Lines>
  <Paragraphs>9</Paragraphs>
  <ScaleCrop>false</ScaleCrop>
  <Company/>
  <LinksUpToDate>false</LinksUpToDate>
  <CharactersWithSpaces>4654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5</cp:revision>
  <dcterms:created xsi:type="dcterms:W3CDTF">2026-10-04T15:09:00Z</dcterms:created>
  <dcterms:modified xsi:type="dcterms:W3CDTF">2026-10-04T17:38:00Z</dcterms:modified>
</cp:coreProperties>
</file>