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0B" w:rsidRPr="00E35222" w:rsidRDefault="00CB38FA" w:rsidP="00E35222">
      <w:pPr>
        <w:spacing w:after="80" w:line="360" w:lineRule="auto"/>
        <w:jc w:val="center"/>
      </w:pPr>
      <w:r w:rsidRPr="00E35222">
        <w:rPr>
          <w:b/>
          <w:bCs/>
        </w:rPr>
        <w:t>Corporate Finance</w:t>
      </w:r>
    </w:p>
    <w:p w:rsidR="00153F0B" w:rsidRPr="00E35222" w:rsidRDefault="00CB38FA" w:rsidP="00E35222">
      <w:pPr>
        <w:spacing w:after="80" w:line="360" w:lineRule="auto"/>
        <w:jc w:val="center"/>
      </w:pPr>
      <w:r w:rsidRPr="00E35222">
        <w:rPr>
          <w:b/>
          <w:bCs/>
        </w:rPr>
        <w:t>Jun 2026 Examination</w:t>
      </w:r>
    </w:p>
    <w:p w:rsidR="00E35222" w:rsidRDefault="00E35222" w:rsidP="00E35222">
      <w:pPr>
        <w:spacing w:before="200" w:after="100" w:line="360" w:lineRule="auto"/>
        <w:jc w:val="both"/>
        <w:rPr>
          <w:b/>
          <w:bCs/>
        </w:rPr>
      </w:pPr>
    </w:p>
    <w:p w:rsidR="00E35222" w:rsidRDefault="00E35222" w:rsidP="00E35222">
      <w:pPr>
        <w:spacing w:before="200" w:after="100" w:line="360" w:lineRule="auto"/>
        <w:jc w:val="both"/>
        <w:rPr>
          <w:b/>
          <w:bCs/>
        </w:rPr>
      </w:pPr>
    </w:p>
    <w:p w:rsidR="00153F0B" w:rsidRPr="00E35222" w:rsidRDefault="00CB38FA" w:rsidP="00E35222">
      <w:pPr>
        <w:spacing w:before="200" w:after="100" w:line="360" w:lineRule="auto"/>
        <w:jc w:val="both"/>
      </w:pPr>
      <w:r w:rsidRPr="00E35222">
        <w:rPr>
          <w:b/>
          <w:bCs/>
        </w:rPr>
        <w:t>Q1. A mid-sized Indian manufacturing firm is experiencing declining profitability despite steady revenue growth. The CFO attributes this to escalating operational costs and inefficient asset utilization, compounded by a recent spike in short-term liabilities. The company is considering introducing automated inventory management and tighter receivables policies, but also faces pressure from suppliers demanding shorter payment cycles. The management team must ensure operational efficiency while maintaining liquidity, without compromising on the firm's ongoing investment in quality improvements and expanding production capacity. Drawing on working capital management concepts, how should the firm apply cash flow forecasting, inventory control, and receivables management strategies to optimize liquidity and operational efficiency in this scenario? What specific actions would you recommend to balance short-term obligations and strategic growth initiatives? (10 Marks)</w:t>
      </w:r>
    </w:p>
    <w:p w:rsidR="00153F0B" w:rsidRPr="00E35222" w:rsidRDefault="00CB38FA" w:rsidP="00E35222">
      <w:pPr>
        <w:spacing w:before="200" w:after="80" w:line="360" w:lineRule="auto"/>
        <w:jc w:val="both"/>
      </w:pPr>
      <w:proofErr w:type="gramStart"/>
      <w:r w:rsidRPr="00E35222">
        <w:rPr>
          <w:b/>
          <w:bCs/>
        </w:rPr>
        <w:t>Ans 1.</w:t>
      </w:r>
      <w:proofErr w:type="gramEnd"/>
    </w:p>
    <w:p w:rsidR="00153F0B" w:rsidRPr="00E35222" w:rsidRDefault="00CB38FA" w:rsidP="00E35222">
      <w:pPr>
        <w:spacing w:before="200" w:after="100" w:line="360" w:lineRule="auto"/>
        <w:jc w:val="both"/>
      </w:pPr>
      <w:r w:rsidRPr="00E35222">
        <w:rPr>
          <w:b/>
          <w:bCs/>
        </w:rPr>
        <w:t>Introduction</w:t>
      </w:r>
    </w:p>
    <w:p w:rsidR="00153F0B" w:rsidRPr="00E35222" w:rsidRDefault="00CB38FA" w:rsidP="00E03AF4">
      <w:pPr>
        <w:spacing w:before="160" w:after="160" w:line="360" w:lineRule="auto"/>
        <w:jc w:val="both"/>
      </w:pPr>
      <w:r w:rsidRPr="00E35222">
        <w:t xml:space="preserve">Working capital management is at the heart of a manufacturing firm's ability to sustain operations while growing. When revenue rises but profitability falls, the problem almost always traces back to how efficiently the company manages its current assets and current liabilities. For this manufacturing firm, the simultaneous pressure from supplier payment demands, rising operational costs, and inefficient asset utilization represents a classic working capital crisis. The situation is compounded by the firm's need to invest in quality improvements and capacity expansion at the same time. Resolving this requires not just cost control but a structured </w:t>
      </w:r>
    </w:p>
    <w:p w:rsidR="00E35222" w:rsidRDefault="00E35222" w:rsidP="00E35222">
      <w:pPr>
        <w:spacing w:before="200" w:after="100" w:line="360" w:lineRule="auto"/>
        <w:jc w:val="both"/>
        <w:rPr>
          <w:b/>
          <w:bCs/>
        </w:rPr>
      </w:pPr>
    </w:p>
    <w:p w:rsidR="00E03AF4" w:rsidRPr="00E03AF4" w:rsidRDefault="00E03AF4" w:rsidP="00E03AF4">
      <w:pPr>
        <w:shd w:val="clear" w:color="auto" w:fill="FFFFFF"/>
        <w:spacing w:line="276" w:lineRule="auto"/>
        <w:jc w:val="center"/>
        <w:rPr>
          <w:rFonts w:ascii="Arial" w:eastAsia="Calibri" w:hAnsi="Arial"/>
          <w:color w:val="222222"/>
          <w:sz w:val="20"/>
          <w:szCs w:val="20"/>
          <w:lang w:val="en-IN"/>
        </w:rPr>
      </w:pPr>
      <w:proofErr w:type="gramStart"/>
      <w:r w:rsidRPr="00E03AF4">
        <w:rPr>
          <w:rFonts w:ascii="Georgia" w:eastAsia="Calibri" w:hAnsi="Georgia"/>
          <w:color w:val="000000"/>
          <w:sz w:val="33"/>
          <w:szCs w:val="33"/>
          <w:highlight w:val="cyan"/>
          <w:shd w:val="clear" w:color="auto" w:fill="FF0000"/>
          <w:lang w:val="en-IN"/>
        </w:rPr>
        <w:t>Its</w:t>
      </w:r>
      <w:proofErr w:type="gramEnd"/>
      <w:r w:rsidRPr="00E03AF4">
        <w:rPr>
          <w:rFonts w:ascii="Georgia" w:eastAsia="Calibri" w:hAnsi="Georgia"/>
          <w:color w:val="000000"/>
          <w:sz w:val="33"/>
          <w:szCs w:val="33"/>
          <w:highlight w:val="cyan"/>
          <w:shd w:val="clear" w:color="auto" w:fill="FF0000"/>
          <w:lang w:val="en-IN"/>
        </w:rPr>
        <w:t xml:space="preserve"> Half solved only</w:t>
      </w:r>
    </w:p>
    <w:p w:rsidR="00E03AF4" w:rsidRPr="00E03AF4" w:rsidRDefault="00E03AF4" w:rsidP="00E03AF4">
      <w:pPr>
        <w:shd w:val="clear" w:color="auto" w:fill="FFFFFF"/>
        <w:spacing w:before="240" w:after="240" w:line="276" w:lineRule="auto"/>
        <w:jc w:val="center"/>
        <w:rPr>
          <w:rFonts w:ascii="Georgia" w:eastAsia="Calibri" w:hAnsi="Georgia"/>
          <w:sz w:val="40"/>
          <w:szCs w:val="33"/>
          <w:shd w:val="clear" w:color="auto" w:fill="FFFF00"/>
          <w:lang w:val="en-IN"/>
        </w:rPr>
      </w:pPr>
      <w:r w:rsidRPr="00E03AF4">
        <w:rPr>
          <w:rFonts w:ascii="Georgia" w:eastAsia="Calibri" w:hAnsi="Georgia"/>
          <w:sz w:val="40"/>
          <w:szCs w:val="33"/>
          <w:shd w:val="clear" w:color="auto" w:fill="FFFF00"/>
          <w:lang w:val="en-IN"/>
        </w:rPr>
        <w:lastRenderedPageBreak/>
        <w:t xml:space="preserve">Buy </w:t>
      </w:r>
      <w:proofErr w:type="gramStart"/>
      <w:r w:rsidRPr="00E03AF4">
        <w:rPr>
          <w:rFonts w:ascii="Georgia" w:eastAsia="Calibri" w:hAnsi="Georgia"/>
          <w:sz w:val="40"/>
          <w:szCs w:val="33"/>
          <w:shd w:val="clear" w:color="auto" w:fill="FFFF00"/>
          <w:lang w:val="en-IN"/>
        </w:rPr>
        <w:t>Complete</w:t>
      </w:r>
      <w:proofErr w:type="gramEnd"/>
      <w:r w:rsidRPr="00E03AF4">
        <w:rPr>
          <w:rFonts w:ascii="Georgia" w:eastAsia="Calibri" w:hAnsi="Georgia"/>
          <w:sz w:val="40"/>
          <w:szCs w:val="33"/>
          <w:shd w:val="clear" w:color="auto" w:fill="FFFF00"/>
          <w:lang w:val="en-IN"/>
        </w:rPr>
        <w:t xml:space="preserve"> assignment from us</w:t>
      </w:r>
    </w:p>
    <w:p w:rsidR="00E03AF4" w:rsidRPr="00E03AF4" w:rsidRDefault="00E03AF4" w:rsidP="00E03AF4">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03AF4">
        <w:rPr>
          <w:rFonts w:ascii="Georgia" w:eastAsia="Calibri" w:hAnsi="Georgia"/>
          <w:b/>
          <w:color w:val="222222"/>
          <w:sz w:val="33"/>
          <w:szCs w:val="33"/>
          <w:shd w:val="clear" w:color="auto" w:fill="FFFF00"/>
          <w:lang w:val="en-IN"/>
        </w:rPr>
        <w:t>Price – 190</w:t>
      </w:r>
      <w:proofErr w:type="gramStart"/>
      <w:r w:rsidRPr="00E03AF4">
        <w:rPr>
          <w:rFonts w:ascii="Georgia" w:eastAsia="Calibri" w:hAnsi="Georgia"/>
          <w:b/>
          <w:color w:val="222222"/>
          <w:sz w:val="33"/>
          <w:szCs w:val="33"/>
          <w:shd w:val="clear" w:color="auto" w:fill="FFFF00"/>
          <w:lang w:val="en-IN"/>
        </w:rPr>
        <w:t>/  assignment</w:t>
      </w:r>
      <w:proofErr w:type="gramEnd"/>
    </w:p>
    <w:p w:rsidR="00E03AF4" w:rsidRPr="00E03AF4" w:rsidRDefault="00E03AF4" w:rsidP="00E03AF4">
      <w:pPr>
        <w:spacing w:before="240" w:after="240" w:line="276" w:lineRule="auto"/>
        <w:jc w:val="center"/>
        <w:rPr>
          <w:rFonts w:ascii="Georgia" w:eastAsia="Calibri" w:hAnsi="Georgia"/>
          <w:b/>
          <w:bCs/>
          <w:color w:val="FFFFFF"/>
          <w:sz w:val="36"/>
          <w:szCs w:val="36"/>
          <w:shd w:val="clear" w:color="auto" w:fill="FFFF00"/>
          <w:lang w:val="en-IN"/>
        </w:rPr>
      </w:pPr>
      <w:r w:rsidRPr="00E03AF4">
        <w:rPr>
          <w:rFonts w:ascii="Georgia" w:eastAsia="Calibri" w:hAnsi="Georgia"/>
          <w:b/>
          <w:sz w:val="40"/>
          <w:szCs w:val="40"/>
          <w:highlight w:val="yellow"/>
          <w:lang w:val="en-IN"/>
        </w:rPr>
        <w:t>NMIMS Online University</w:t>
      </w:r>
      <w:r w:rsidRPr="00E03AF4">
        <w:rPr>
          <w:rFonts w:ascii="Georgia" w:eastAsia="Calibri" w:hAnsi="Georgia"/>
          <w:b/>
          <w:color w:val="222222"/>
          <w:sz w:val="33"/>
          <w:szCs w:val="33"/>
          <w:highlight w:val="yellow"/>
          <w:shd w:val="clear" w:color="auto" w:fill="FFFF00"/>
          <w:lang w:val="en-IN"/>
        </w:rPr>
        <w:t xml:space="preserve"> </w:t>
      </w:r>
      <w:r w:rsidRPr="00E03AF4">
        <w:rPr>
          <w:rFonts w:ascii="Georgia" w:eastAsia="Calibri" w:hAnsi="Georgia"/>
          <w:b/>
          <w:sz w:val="36"/>
          <w:szCs w:val="36"/>
          <w:lang w:val="en-IN"/>
        </w:rPr>
        <w:t xml:space="preserve">Complete </w:t>
      </w:r>
      <w:proofErr w:type="gramStart"/>
      <w:r w:rsidRPr="00E03AF4">
        <w:rPr>
          <w:rFonts w:ascii="Georgia" w:eastAsia="Calibri" w:hAnsi="Georgia"/>
          <w:b/>
          <w:sz w:val="36"/>
          <w:szCs w:val="36"/>
          <w:lang w:val="en-IN"/>
        </w:rPr>
        <w:t>SolvedAssignments</w:t>
      </w:r>
      <w:r w:rsidRPr="00E03AF4">
        <w:rPr>
          <w:rFonts w:ascii="Georgia" w:eastAsia="Calibri" w:hAnsi="Georgia"/>
          <w:b/>
          <w:color w:val="FF0000"/>
          <w:sz w:val="36"/>
          <w:szCs w:val="36"/>
          <w:lang w:val="en-IN"/>
        </w:rPr>
        <w:t xml:space="preserve">  </w:t>
      </w:r>
      <w:r w:rsidRPr="00E03AF4">
        <w:rPr>
          <w:rFonts w:ascii="Georgia" w:eastAsia="Calibri" w:hAnsi="Georgia"/>
          <w:b/>
          <w:bCs/>
          <w:color w:val="FFFFFF"/>
          <w:sz w:val="36"/>
          <w:szCs w:val="36"/>
          <w:highlight w:val="red"/>
          <w:shd w:val="clear" w:color="auto" w:fill="FFFF00"/>
          <w:lang w:val="en-IN"/>
        </w:rPr>
        <w:t>session</w:t>
      </w:r>
      <w:proofErr w:type="gramEnd"/>
      <w:r w:rsidRPr="00E03AF4">
        <w:rPr>
          <w:rFonts w:ascii="Georgia" w:eastAsia="Calibri" w:hAnsi="Georgia"/>
          <w:b/>
          <w:bCs/>
          <w:color w:val="FFFFFF"/>
          <w:sz w:val="36"/>
          <w:szCs w:val="36"/>
          <w:highlight w:val="red"/>
          <w:shd w:val="clear" w:color="auto" w:fill="FFFF00"/>
          <w:lang w:val="en-IN"/>
        </w:rPr>
        <w:t xml:space="preserve"> JUNE  2026</w:t>
      </w:r>
    </w:p>
    <w:p w:rsidR="00E03AF4" w:rsidRPr="00E03AF4" w:rsidRDefault="00E03AF4" w:rsidP="00E03AF4">
      <w:pPr>
        <w:spacing w:before="240" w:after="240" w:line="276" w:lineRule="auto"/>
        <w:jc w:val="center"/>
        <w:rPr>
          <w:rFonts w:ascii="Georgia" w:eastAsia="Calibri" w:hAnsi="Georgia"/>
          <w:b/>
          <w:sz w:val="36"/>
          <w:szCs w:val="36"/>
          <w:lang w:val="en-IN"/>
        </w:rPr>
      </w:pPr>
      <w:r w:rsidRPr="00E03AF4">
        <w:rPr>
          <w:rFonts w:ascii="Georgia" w:eastAsia="Calibri" w:hAnsi="Georgia"/>
          <w:b/>
          <w:sz w:val="36"/>
          <w:szCs w:val="36"/>
          <w:highlight w:val="cyan"/>
          <w:lang w:val="en-IN"/>
        </w:rPr>
        <w:t>Last date 27 April 2026</w:t>
      </w:r>
    </w:p>
    <w:p w:rsidR="00E03AF4" w:rsidRPr="00E03AF4" w:rsidRDefault="00E03AF4" w:rsidP="00E03AF4">
      <w:pPr>
        <w:spacing w:before="240" w:after="240" w:line="276" w:lineRule="auto"/>
        <w:jc w:val="center"/>
        <w:rPr>
          <w:rFonts w:ascii="Georgia" w:eastAsia="Calibri" w:hAnsi="Georgia"/>
          <w:sz w:val="32"/>
          <w:szCs w:val="32"/>
          <w:lang w:val="en-IN"/>
        </w:rPr>
      </w:pPr>
      <w:proofErr w:type="gramStart"/>
      <w:r w:rsidRPr="00E03AF4">
        <w:rPr>
          <w:rFonts w:ascii="Georgia" w:eastAsia="Calibri" w:hAnsi="Georgia"/>
          <w:sz w:val="32"/>
          <w:szCs w:val="32"/>
          <w:lang w:val="en-IN"/>
        </w:rPr>
        <w:t>buy</w:t>
      </w:r>
      <w:proofErr w:type="gramEnd"/>
      <w:r w:rsidRPr="00E03AF4">
        <w:rPr>
          <w:rFonts w:ascii="Georgia" w:eastAsia="Calibri" w:hAnsi="Georgia"/>
          <w:sz w:val="32"/>
          <w:szCs w:val="32"/>
          <w:lang w:val="en-IN"/>
        </w:rPr>
        <w:t xml:space="preserve"> cheap assignment help online from us easily</w:t>
      </w:r>
    </w:p>
    <w:p w:rsidR="00E03AF4" w:rsidRPr="00E03AF4" w:rsidRDefault="00E03AF4" w:rsidP="00E03AF4">
      <w:pPr>
        <w:spacing w:before="240" w:after="240" w:line="276" w:lineRule="auto"/>
        <w:jc w:val="center"/>
        <w:rPr>
          <w:rFonts w:ascii="Georgia" w:eastAsia="Calibri" w:hAnsi="Georgia"/>
          <w:sz w:val="32"/>
          <w:szCs w:val="32"/>
          <w:lang w:val="en-GB"/>
        </w:rPr>
      </w:pPr>
      <w:proofErr w:type="gramStart"/>
      <w:r w:rsidRPr="00E03AF4">
        <w:rPr>
          <w:rFonts w:ascii="Georgia" w:eastAsia="Calibri" w:hAnsi="Georgia"/>
          <w:sz w:val="32"/>
          <w:szCs w:val="32"/>
          <w:lang w:val="en-IN"/>
        </w:rPr>
        <w:t>we</w:t>
      </w:r>
      <w:proofErr w:type="gramEnd"/>
      <w:r w:rsidRPr="00E03AF4">
        <w:rPr>
          <w:rFonts w:ascii="Georgia" w:eastAsia="Calibri" w:hAnsi="Georgia"/>
          <w:sz w:val="32"/>
          <w:szCs w:val="32"/>
          <w:lang w:val="en-IN"/>
        </w:rPr>
        <w:t xml:space="preserve"> are here to help you with the best and cheap help </w:t>
      </w:r>
    </w:p>
    <w:p w:rsidR="00E03AF4" w:rsidRPr="00E03AF4" w:rsidRDefault="00E03AF4" w:rsidP="00E03AF4">
      <w:pPr>
        <w:spacing w:before="240" w:after="240" w:line="276" w:lineRule="auto"/>
        <w:jc w:val="center"/>
        <w:rPr>
          <w:rFonts w:ascii="Georgia" w:eastAsia="Calibri" w:hAnsi="Georgia"/>
          <w:b/>
          <w:sz w:val="44"/>
          <w:szCs w:val="44"/>
          <w:lang w:val="en-IN"/>
        </w:rPr>
      </w:pPr>
      <w:r w:rsidRPr="00E03AF4">
        <w:rPr>
          <w:rFonts w:ascii="Georgia" w:eastAsia="Calibri" w:hAnsi="Georgia"/>
          <w:b/>
          <w:sz w:val="36"/>
          <w:szCs w:val="36"/>
          <w:lang w:val="en-IN"/>
        </w:rPr>
        <w:t>Contact No –</w:t>
      </w:r>
      <w:r w:rsidRPr="00E03AF4">
        <w:rPr>
          <w:rFonts w:ascii="Georgia" w:eastAsia="Calibri" w:hAnsi="Georgia"/>
          <w:b/>
          <w:sz w:val="44"/>
          <w:szCs w:val="44"/>
          <w:lang w:val="en-IN"/>
        </w:rPr>
        <w:t xml:space="preserve"> </w:t>
      </w:r>
      <w:r w:rsidRPr="00E03AF4">
        <w:rPr>
          <w:rFonts w:ascii="Georgia" w:eastAsia="Calibri" w:hAnsi="Georgia"/>
          <w:b/>
          <w:sz w:val="40"/>
          <w:szCs w:val="40"/>
          <w:highlight w:val="yellow"/>
          <w:lang w:val="en-IN"/>
        </w:rPr>
        <w:t>8791514139</w:t>
      </w:r>
      <w:r w:rsidRPr="00E03AF4">
        <w:rPr>
          <w:rFonts w:ascii="Georgia" w:eastAsia="Calibri" w:hAnsi="Georgia"/>
          <w:b/>
          <w:sz w:val="40"/>
          <w:szCs w:val="40"/>
          <w:lang w:val="en-IN"/>
        </w:rPr>
        <w:t xml:space="preserve"> (WhatsApp)</w:t>
      </w:r>
    </w:p>
    <w:p w:rsidR="00E03AF4" w:rsidRPr="00E03AF4" w:rsidRDefault="00E03AF4" w:rsidP="00E03AF4">
      <w:pPr>
        <w:spacing w:before="240" w:after="240" w:line="276" w:lineRule="auto"/>
        <w:jc w:val="center"/>
        <w:rPr>
          <w:rFonts w:ascii="Georgia" w:eastAsia="Calibri" w:hAnsi="Georgia"/>
          <w:b/>
          <w:sz w:val="32"/>
          <w:szCs w:val="32"/>
          <w:lang w:val="en-IN"/>
        </w:rPr>
      </w:pPr>
      <w:r w:rsidRPr="00E03AF4">
        <w:rPr>
          <w:rFonts w:ascii="Georgia" w:eastAsia="Calibri" w:hAnsi="Georgia"/>
          <w:b/>
          <w:sz w:val="32"/>
          <w:szCs w:val="32"/>
          <w:lang w:val="en-IN"/>
        </w:rPr>
        <w:t>OR</w:t>
      </w:r>
    </w:p>
    <w:p w:rsidR="00E03AF4" w:rsidRPr="00E03AF4" w:rsidRDefault="00E03AF4" w:rsidP="00E03AF4">
      <w:pPr>
        <w:spacing w:before="240" w:after="240" w:line="276" w:lineRule="auto"/>
        <w:jc w:val="center"/>
        <w:rPr>
          <w:rFonts w:ascii="Georgia" w:eastAsia="Calibri" w:hAnsi="Georgia"/>
          <w:b/>
          <w:sz w:val="32"/>
          <w:szCs w:val="32"/>
          <w:lang w:val="en-IN"/>
        </w:rPr>
      </w:pPr>
      <w:r w:rsidRPr="00E03AF4">
        <w:rPr>
          <w:rFonts w:ascii="Georgia" w:eastAsia="Calibri" w:hAnsi="Georgia"/>
          <w:b/>
          <w:sz w:val="32"/>
          <w:szCs w:val="32"/>
          <w:lang w:val="en-IN"/>
        </w:rPr>
        <w:t>Mail us</w:t>
      </w:r>
      <w:proofErr w:type="gramStart"/>
      <w:r w:rsidRPr="00E03AF4">
        <w:rPr>
          <w:rFonts w:ascii="Georgia" w:eastAsia="Calibri" w:hAnsi="Georgia"/>
          <w:b/>
          <w:sz w:val="32"/>
          <w:szCs w:val="32"/>
          <w:lang w:val="en-IN"/>
        </w:rPr>
        <w:t xml:space="preserve">-  </w:t>
      </w:r>
      <w:proofErr w:type="gramEnd"/>
      <w:r w:rsidRPr="00E03AF4">
        <w:rPr>
          <w:rFonts w:ascii="Calibri" w:eastAsia="Calibri" w:hAnsi="Calibri"/>
          <w:sz w:val="22"/>
          <w:szCs w:val="22"/>
          <w:lang w:val="en-IN"/>
        </w:rPr>
        <w:fldChar w:fldCharType="begin"/>
      </w:r>
      <w:r w:rsidRPr="00E03AF4">
        <w:rPr>
          <w:rFonts w:ascii="Calibri" w:eastAsia="Calibri" w:hAnsi="Calibri"/>
          <w:sz w:val="22"/>
          <w:szCs w:val="22"/>
          <w:lang w:val="en-IN"/>
        </w:rPr>
        <w:instrText>HYPERLINK "mailto:bestassignment247@gmail.com"</w:instrText>
      </w:r>
      <w:r w:rsidRPr="00E03AF4">
        <w:rPr>
          <w:rFonts w:ascii="Calibri" w:eastAsia="Calibri" w:hAnsi="Calibri"/>
          <w:sz w:val="22"/>
          <w:szCs w:val="22"/>
          <w:lang w:val="en-IN"/>
        </w:rPr>
        <w:fldChar w:fldCharType="separate"/>
      </w:r>
      <w:r w:rsidRPr="00E03AF4">
        <w:rPr>
          <w:rFonts w:ascii="Georgia" w:eastAsia="Calibri" w:hAnsi="Georgia"/>
          <w:b/>
          <w:color w:val="0000FF"/>
          <w:sz w:val="32"/>
          <w:szCs w:val="22"/>
          <w:u w:val="single"/>
          <w:lang w:val="en-IN"/>
        </w:rPr>
        <w:t>bestassignment247@gmail.com</w:t>
      </w:r>
      <w:r w:rsidRPr="00E03AF4">
        <w:rPr>
          <w:rFonts w:ascii="Calibri" w:eastAsia="Calibri" w:hAnsi="Calibri"/>
          <w:sz w:val="22"/>
          <w:szCs w:val="22"/>
          <w:lang w:val="en-IN"/>
        </w:rPr>
        <w:fldChar w:fldCharType="end"/>
      </w:r>
    </w:p>
    <w:p w:rsidR="00E03AF4" w:rsidRPr="00E03AF4" w:rsidRDefault="00E03AF4" w:rsidP="00E03AF4">
      <w:pPr>
        <w:spacing w:after="200" w:line="360" w:lineRule="auto"/>
        <w:jc w:val="center"/>
        <w:rPr>
          <w:rFonts w:eastAsia="Calibri"/>
          <w:sz w:val="22"/>
          <w:szCs w:val="22"/>
          <w:lang w:val="en-IN"/>
        </w:rPr>
      </w:pPr>
      <w:r w:rsidRPr="00E03AF4">
        <w:rPr>
          <w:rFonts w:ascii="Georgia" w:eastAsia="Calibri" w:hAnsi="Georgia"/>
          <w:b/>
          <w:sz w:val="32"/>
          <w:szCs w:val="32"/>
          <w:lang w:val="en-IN"/>
        </w:rPr>
        <w:t xml:space="preserve">Our website - </w:t>
      </w:r>
      <w:hyperlink r:id="rId5" w:history="1">
        <w:r w:rsidRPr="00E03AF4">
          <w:rPr>
            <w:rFonts w:ascii="Georgia" w:eastAsia="Calibri" w:hAnsi="Georgia"/>
            <w:b/>
            <w:color w:val="0000FF"/>
            <w:sz w:val="32"/>
            <w:u w:val="single"/>
            <w:lang w:val="en-IN"/>
          </w:rPr>
          <w:t>www.assignmentsupport.in</w:t>
        </w:r>
      </w:hyperlink>
    </w:p>
    <w:p w:rsidR="00E35222" w:rsidRDefault="00E35222" w:rsidP="00E35222">
      <w:pPr>
        <w:spacing w:before="200" w:after="100" w:line="360" w:lineRule="auto"/>
        <w:jc w:val="both"/>
        <w:rPr>
          <w:b/>
          <w:bCs/>
        </w:rPr>
      </w:pPr>
    </w:p>
    <w:p w:rsidR="00153F0B" w:rsidRPr="00E35222" w:rsidRDefault="00CB38FA" w:rsidP="00E35222">
      <w:pPr>
        <w:spacing w:before="200" w:after="100" w:line="360" w:lineRule="auto"/>
        <w:jc w:val="both"/>
        <w:rPr>
          <w:b/>
          <w:bCs/>
        </w:rPr>
      </w:pPr>
      <w:proofErr w:type="gramStart"/>
      <w:r w:rsidRPr="00E35222">
        <w:rPr>
          <w:b/>
          <w:bCs/>
        </w:rPr>
        <w:t>Q2 (A).</w:t>
      </w:r>
      <w:proofErr w:type="gramEnd"/>
      <w:r w:rsidRPr="00E35222">
        <w:rPr>
          <w:b/>
          <w:bCs/>
        </w:rPr>
        <w:t xml:space="preserve"> An Indian manufacturing firm is evaluating the purchase of a machine costing Rs.24</w:t>
      </w:r>
      <w:proofErr w:type="gramStart"/>
      <w:r w:rsidRPr="00E35222">
        <w:rPr>
          <w:b/>
          <w:bCs/>
        </w:rPr>
        <w:t>,00,000</w:t>
      </w:r>
      <w:proofErr w:type="gramEnd"/>
      <w:r w:rsidRPr="00E35222">
        <w:rPr>
          <w:b/>
          <w:bCs/>
        </w:rPr>
        <w:t xml:space="preserve"> with the following expected operational data for 5 years: depreciation is calculated using the straight-line method over 5 years with zero salvage value. The machine will generate incremental cash inflows as per the table below. However, it requires an additional working capital investment of Rs.4</w:t>
      </w:r>
      <w:proofErr w:type="gramStart"/>
      <w:r w:rsidRPr="00E35222">
        <w:rPr>
          <w:b/>
          <w:bCs/>
        </w:rPr>
        <w:t>,50,000</w:t>
      </w:r>
      <w:proofErr w:type="gramEnd"/>
      <w:r w:rsidRPr="00E35222">
        <w:rPr>
          <w:b/>
          <w:bCs/>
        </w:rPr>
        <w:t xml:space="preserve"> at the end of Year 1, recoverable fully at the end of Year 5. The firm's cost of capital is 10% p.a. and corporate tax rate is 30%. Using the time value of money, determine whether the investment should be undertaken by calculating the Net Present Value (NPV) of all cash flows (including working capital impacts and tax shields on depreciation). Table: Year | Incremental Cash Inflows (before tax &amp; depreciation) (Rs.): 1 | 7,00,000; 2 | 8,00,000; 3 | 9,80,000; 4 | 9,00,000; 5 | 8,50,000. Show all intermediate calculations in your answer. (5 Marks)</w:t>
      </w:r>
    </w:p>
    <w:p w:rsidR="00153F0B" w:rsidRPr="00E35222" w:rsidRDefault="00CB38FA" w:rsidP="00E35222">
      <w:pPr>
        <w:spacing w:before="200" w:after="80" w:line="360" w:lineRule="auto"/>
        <w:jc w:val="both"/>
        <w:rPr>
          <w:b/>
        </w:rPr>
      </w:pPr>
      <w:proofErr w:type="gramStart"/>
      <w:r w:rsidRPr="00E35222">
        <w:rPr>
          <w:b/>
          <w:bCs/>
        </w:rPr>
        <w:lastRenderedPageBreak/>
        <w:t>Ans 2(A).</w:t>
      </w:r>
      <w:proofErr w:type="gramEnd"/>
    </w:p>
    <w:p w:rsidR="00CB38FA" w:rsidRPr="00E35222" w:rsidRDefault="00CB38FA" w:rsidP="00E35222">
      <w:pPr>
        <w:spacing w:before="200" w:after="100" w:line="360" w:lineRule="auto"/>
        <w:jc w:val="both"/>
        <w:rPr>
          <w:b/>
          <w:bCs/>
        </w:rPr>
      </w:pPr>
      <w:r w:rsidRPr="00E35222">
        <w:rPr>
          <w:b/>
          <w:bCs/>
        </w:rPr>
        <w:t>Introduction</w:t>
      </w:r>
    </w:p>
    <w:p w:rsidR="00CB38FA" w:rsidRPr="00E35222" w:rsidRDefault="00CB38FA" w:rsidP="00E35222">
      <w:pPr>
        <w:spacing w:before="200" w:after="100" w:line="360" w:lineRule="auto"/>
        <w:jc w:val="both"/>
        <w:rPr>
          <w:bCs/>
        </w:rPr>
      </w:pPr>
      <w:r w:rsidRPr="00E35222">
        <w:rPr>
          <w:bCs/>
        </w:rPr>
        <w:t>Net Present Value (NPV) is a widely accepted capital budgeting technique that evaluates an investment by discounting all future cash flows at the firm’s cost of capital. It considers the time value of money and provides a clear decision rule: a project should be accepted if NPV is positive. In this case, the evaluation must include operating cash flows, depreciation tax shield, working capital investment, and its recovery.</w:t>
      </w:r>
    </w:p>
    <w:p w:rsidR="00CB38FA" w:rsidRPr="00E35222" w:rsidRDefault="00CB38FA" w:rsidP="00E35222">
      <w:pPr>
        <w:spacing w:before="200" w:after="100" w:line="360" w:lineRule="auto"/>
        <w:jc w:val="both"/>
        <w:rPr>
          <w:b/>
          <w:bCs/>
        </w:rPr>
      </w:pPr>
      <w:r w:rsidRPr="00E35222">
        <w:rPr>
          <w:b/>
          <w:bCs/>
        </w:rPr>
        <w:t>Concept and Application</w:t>
      </w:r>
    </w:p>
    <w:p w:rsidR="00CB38FA" w:rsidRPr="00E35222" w:rsidRDefault="00CB38FA" w:rsidP="00E03AF4">
      <w:pPr>
        <w:spacing w:before="200" w:after="100" w:line="360" w:lineRule="auto"/>
        <w:jc w:val="both"/>
        <w:rPr>
          <w:bCs/>
        </w:rPr>
      </w:pPr>
      <w:r w:rsidRPr="00E35222">
        <w:rPr>
          <w:bCs/>
        </w:rPr>
        <w:t xml:space="preserve">NPV is calculated by discounting all net cash flows over the life of the project. The key </w:t>
      </w:r>
    </w:p>
    <w:p w:rsidR="00CB38FA" w:rsidRPr="00E35222" w:rsidRDefault="00CB38FA" w:rsidP="00E35222">
      <w:pPr>
        <w:spacing w:before="200" w:after="100" w:line="360" w:lineRule="auto"/>
        <w:jc w:val="both"/>
        <w:rPr>
          <w:bCs/>
        </w:rPr>
      </w:pPr>
    </w:p>
    <w:p w:rsidR="00CB38FA" w:rsidRPr="00E35222" w:rsidRDefault="00CB38FA" w:rsidP="00E35222">
      <w:pPr>
        <w:spacing w:before="200" w:after="100" w:line="360" w:lineRule="auto"/>
        <w:jc w:val="both"/>
        <w:rPr>
          <w:b/>
          <w:bCs/>
        </w:rPr>
      </w:pPr>
    </w:p>
    <w:p w:rsidR="00233AFB" w:rsidRPr="00E35222" w:rsidRDefault="00CB38FA" w:rsidP="00E35222">
      <w:pPr>
        <w:spacing w:before="200" w:after="100" w:line="360" w:lineRule="auto"/>
        <w:jc w:val="both"/>
        <w:rPr>
          <w:b/>
          <w:bCs/>
        </w:rPr>
      </w:pPr>
      <w:proofErr w:type="gramStart"/>
      <w:r w:rsidRPr="00E35222">
        <w:rPr>
          <w:b/>
          <w:bCs/>
        </w:rPr>
        <w:t>Q2 (B).</w:t>
      </w:r>
      <w:proofErr w:type="gramEnd"/>
      <w:r w:rsidRPr="00E35222">
        <w:rPr>
          <w:b/>
          <w:bCs/>
        </w:rPr>
        <w:t xml:space="preserve"> A firm has the following market values and component costs: </w:t>
      </w:r>
    </w:p>
    <w:tbl>
      <w:tblPr>
        <w:tblStyle w:val="TableGrid"/>
        <w:tblW w:w="5000" w:type="pct"/>
        <w:tblLook w:val="04A0"/>
      </w:tblPr>
      <w:tblGrid>
        <w:gridCol w:w="3758"/>
        <w:gridCol w:w="3317"/>
        <w:gridCol w:w="2501"/>
      </w:tblGrid>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Component</w:t>
            </w:r>
          </w:p>
        </w:tc>
        <w:tc>
          <w:tcPr>
            <w:tcW w:w="1732" w:type="pct"/>
            <w:hideMark/>
          </w:tcPr>
          <w:p w:rsidR="00233AFB" w:rsidRPr="00E35222" w:rsidRDefault="00233AFB" w:rsidP="00E35222">
            <w:pPr>
              <w:spacing w:before="200" w:after="100" w:line="360" w:lineRule="auto"/>
              <w:jc w:val="both"/>
              <w:rPr>
                <w:b/>
                <w:bCs/>
              </w:rPr>
            </w:pPr>
            <w:r w:rsidRPr="00E35222">
              <w:rPr>
                <w:b/>
                <w:bCs/>
              </w:rPr>
              <w:t>Market Value (Rs. lakh)</w:t>
            </w:r>
          </w:p>
        </w:tc>
        <w:tc>
          <w:tcPr>
            <w:tcW w:w="1306" w:type="pct"/>
            <w:hideMark/>
          </w:tcPr>
          <w:p w:rsidR="00233AFB" w:rsidRPr="00E35222" w:rsidRDefault="00233AFB" w:rsidP="00E35222">
            <w:pPr>
              <w:spacing w:before="200" w:after="100" w:line="360" w:lineRule="auto"/>
              <w:jc w:val="both"/>
              <w:rPr>
                <w:b/>
                <w:bCs/>
              </w:rPr>
            </w:pPr>
            <w:r w:rsidRPr="00E35222">
              <w:rPr>
                <w:b/>
                <w:bCs/>
              </w:rPr>
              <w:t>Cost (Before Tax)</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Equity Share Capital</w:t>
            </w:r>
          </w:p>
        </w:tc>
        <w:tc>
          <w:tcPr>
            <w:tcW w:w="1732" w:type="pct"/>
            <w:hideMark/>
          </w:tcPr>
          <w:p w:rsidR="00233AFB" w:rsidRPr="00E35222" w:rsidRDefault="00233AFB" w:rsidP="00E35222">
            <w:pPr>
              <w:spacing w:before="200" w:after="100" w:line="360" w:lineRule="auto"/>
              <w:jc w:val="both"/>
              <w:rPr>
                <w:b/>
                <w:bCs/>
              </w:rPr>
            </w:pPr>
            <w:r w:rsidRPr="00E35222">
              <w:rPr>
                <w:b/>
                <w:bCs/>
              </w:rPr>
              <w:t>1050</w:t>
            </w:r>
          </w:p>
        </w:tc>
        <w:tc>
          <w:tcPr>
            <w:tcW w:w="1306" w:type="pct"/>
            <w:hideMark/>
          </w:tcPr>
          <w:p w:rsidR="00233AFB" w:rsidRPr="00E35222" w:rsidRDefault="00233AFB" w:rsidP="00E35222">
            <w:pPr>
              <w:spacing w:before="200" w:after="100" w:line="360" w:lineRule="auto"/>
              <w:jc w:val="both"/>
              <w:rPr>
                <w:b/>
                <w:bCs/>
              </w:rPr>
            </w:pPr>
            <w:r w:rsidRPr="00E35222">
              <w:rPr>
                <w:b/>
                <w:bCs/>
              </w:rPr>
              <w:t>15%</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Preference Share Capital</w:t>
            </w:r>
          </w:p>
        </w:tc>
        <w:tc>
          <w:tcPr>
            <w:tcW w:w="1732" w:type="pct"/>
            <w:hideMark/>
          </w:tcPr>
          <w:p w:rsidR="00233AFB" w:rsidRPr="00E35222" w:rsidRDefault="00233AFB" w:rsidP="00E35222">
            <w:pPr>
              <w:spacing w:before="200" w:after="100" w:line="360" w:lineRule="auto"/>
              <w:jc w:val="both"/>
              <w:rPr>
                <w:b/>
                <w:bCs/>
              </w:rPr>
            </w:pPr>
            <w:r w:rsidRPr="00E35222">
              <w:rPr>
                <w:b/>
                <w:bCs/>
              </w:rPr>
              <w:t>150</w:t>
            </w:r>
          </w:p>
        </w:tc>
        <w:tc>
          <w:tcPr>
            <w:tcW w:w="1306" w:type="pct"/>
            <w:hideMark/>
          </w:tcPr>
          <w:p w:rsidR="00233AFB" w:rsidRPr="00E35222" w:rsidRDefault="00233AFB" w:rsidP="00E35222">
            <w:pPr>
              <w:spacing w:before="200" w:after="100" w:line="360" w:lineRule="auto"/>
              <w:jc w:val="both"/>
              <w:rPr>
                <w:b/>
                <w:bCs/>
              </w:rPr>
            </w:pPr>
            <w:r w:rsidRPr="00E35222">
              <w:rPr>
                <w:b/>
                <w:bCs/>
              </w:rPr>
              <w:t>10%</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Long-term Secured Debt</w:t>
            </w:r>
          </w:p>
        </w:tc>
        <w:tc>
          <w:tcPr>
            <w:tcW w:w="1732" w:type="pct"/>
            <w:hideMark/>
          </w:tcPr>
          <w:p w:rsidR="00233AFB" w:rsidRPr="00E35222" w:rsidRDefault="00233AFB" w:rsidP="00E35222">
            <w:pPr>
              <w:spacing w:before="200" w:after="100" w:line="360" w:lineRule="auto"/>
              <w:jc w:val="both"/>
              <w:rPr>
                <w:b/>
                <w:bCs/>
              </w:rPr>
            </w:pPr>
            <w:r w:rsidRPr="00E35222">
              <w:rPr>
                <w:b/>
                <w:bCs/>
              </w:rPr>
              <w:t>750</w:t>
            </w:r>
          </w:p>
        </w:tc>
        <w:tc>
          <w:tcPr>
            <w:tcW w:w="1306" w:type="pct"/>
            <w:hideMark/>
          </w:tcPr>
          <w:p w:rsidR="00233AFB" w:rsidRPr="00E35222" w:rsidRDefault="00233AFB" w:rsidP="00E35222">
            <w:pPr>
              <w:spacing w:before="200" w:after="100" w:line="360" w:lineRule="auto"/>
              <w:jc w:val="both"/>
              <w:rPr>
                <w:b/>
                <w:bCs/>
              </w:rPr>
            </w:pPr>
            <w:r w:rsidRPr="00E35222">
              <w:rPr>
                <w:b/>
                <w:bCs/>
              </w:rPr>
              <w:t>9%</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Short-term Unsecured Debt</w:t>
            </w:r>
          </w:p>
        </w:tc>
        <w:tc>
          <w:tcPr>
            <w:tcW w:w="1732" w:type="pct"/>
            <w:hideMark/>
          </w:tcPr>
          <w:p w:rsidR="00233AFB" w:rsidRPr="00E35222" w:rsidRDefault="00233AFB" w:rsidP="00E35222">
            <w:pPr>
              <w:spacing w:before="200" w:after="100" w:line="360" w:lineRule="auto"/>
              <w:jc w:val="both"/>
              <w:rPr>
                <w:b/>
                <w:bCs/>
              </w:rPr>
            </w:pPr>
            <w:r w:rsidRPr="00E35222">
              <w:rPr>
                <w:b/>
                <w:bCs/>
              </w:rPr>
              <w:t>100</w:t>
            </w:r>
          </w:p>
        </w:tc>
        <w:tc>
          <w:tcPr>
            <w:tcW w:w="1306" w:type="pct"/>
            <w:hideMark/>
          </w:tcPr>
          <w:p w:rsidR="00233AFB" w:rsidRPr="00E35222" w:rsidRDefault="00233AFB" w:rsidP="00E35222">
            <w:pPr>
              <w:spacing w:before="200" w:after="100" w:line="360" w:lineRule="auto"/>
              <w:jc w:val="both"/>
              <w:rPr>
                <w:b/>
                <w:bCs/>
              </w:rPr>
            </w:pPr>
            <w:r w:rsidRPr="00E35222">
              <w:rPr>
                <w:b/>
                <w:bCs/>
              </w:rPr>
              <w:t>11%</w:t>
            </w:r>
          </w:p>
        </w:tc>
      </w:tr>
    </w:tbl>
    <w:p w:rsidR="00233AFB" w:rsidRPr="00E35222" w:rsidRDefault="00CB38FA" w:rsidP="00E35222">
      <w:pPr>
        <w:spacing w:before="200" w:after="100" w:line="360" w:lineRule="auto"/>
        <w:jc w:val="both"/>
        <w:rPr>
          <w:b/>
          <w:bCs/>
        </w:rPr>
      </w:pPr>
      <w:r w:rsidRPr="00E35222">
        <w:rPr>
          <w:b/>
          <w:bCs/>
        </w:rPr>
        <w:t xml:space="preserve">Corporate tax rate is 25%. </w:t>
      </w:r>
    </w:p>
    <w:p w:rsidR="00233AFB" w:rsidRPr="00E35222" w:rsidRDefault="00CB38FA" w:rsidP="00E35222">
      <w:pPr>
        <w:spacing w:before="200" w:after="100" w:line="360" w:lineRule="auto"/>
        <w:jc w:val="both"/>
        <w:rPr>
          <w:b/>
          <w:bCs/>
        </w:rPr>
      </w:pPr>
      <w:r w:rsidRPr="00E35222">
        <w:rPr>
          <w:b/>
          <w:bCs/>
        </w:rPr>
        <w:t xml:space="preserve">Scenario A: increase secured debt by Rs.250 lakh replacing an equal amount of equity. </w:t>
      </w:r>
    </w:p>
    <w:p w:rsidR="00233AFB" w:rsidRPr="00E35222" w:rsidRDefault="00CB38FA" w:rsidP="00E35222">
      <w:pPr>
        <w:spacing w:before="200" w:after="100" w:line="360" w:lineRule="auto"/>
        <w:jc w:val="both"/>
        <w:rPr>
          <w:b/>
          <w:bCs/>
        </w:rPr>
      </w:pPr>
      <w:r w:rsidRPr="00E35222">
        <w:rPr>
          <w:b/>
          <w:bCs/>
        </w:rPr>
        <w:t xml:space="preserve">Scenario B: raise preference share capital by Rs.100 lakh, reducing unsecured debt and equity equally. </w:t>
      </w:r>
    </w:p>
    <w:p w:rsidR="00153F0B" w:rsidRPr="00E35222" w:rsidRDefault="00CB38FA" w:rsidP="00E35222">
      <w:pPr>
        <w:spacing w:before="200" w:after="100" w:line="360" w:lineRule="auto"/>
        <w:jc w:val="both"/>
        <w:rPr>
          <w:b/>
        </w:rPr>
      </w:pPr>
      <w:r w:rsidRPr="00E35222">
        <w:rPr>
          <w:b/>
          <w:bCs/>
        </w:rPr>
        <w:lastRenderedPageBreak/>
        <w:t>Calculate the WACC for each scenario and determine which scenario yields a lower WACC. Show all steps including tax adjustments and market value re-weighting. (5 Marks)</w:t>
      </w:r>
    </w:p>
    <w:p w:rsidR="00153F0B" w:rsidRPr="00E35222" w:rsidRDefault="00CB38FA" w:rsidP="00E35222">
      <w:pPr>
        <w:spacing w:before="200" w:after="80" w:line="360" w:lineRule="auto"/>
        <w:jc w:val="both"/>
      </w:pPr>
      <w:proofErr w:type="gramStart"/>
      <w:r w:rsidRPr="00E35222">
        <w:rPr>
          <w:b/>
          <w:bCs/>
        </w:rPr>
        <w:t>Ans 2(B).</w:t>
      </w:r>
      <w:proofErr w:type="gramEnd"/>
    </w:p>
    <w:p w:rsidR="00153F0B" w:rsidRPr="00E35222" w:rsidRDefault="00CB38FA" w:rsidP="00E35222">
      <w:pPr>
        <w:spacing w:before="200" w:after="100" w:line="360" w:lineRule="auto"/>
        <w:jc w:val="both"/>
      </w:pPr>
      <w:r w:rsidRPr="00E35222">
        <w:rPr>
          <w:b/>
          <w:bCs/>
        </w:rPr>
        <w:t>Introduction</w:t>
      </w:r>
    </w:p>
    <w:p w:rsidR="00153F0B" w:rsidRPr="00E35222" w:rsidRDefault="00CB38FA" w:rsidP="00E03AF4">
      <w:pPr>
        <w:spacing w:before="160" w:after="160" w:line="360" w:lineRule="auto"/>
        <w:jc w:val="both"/>
      </w:pPr>
      <w:r w:rsidRPr="00E35222">
        <w:t xml:space="preserve">Weighted Average Cost of Capital measures the blended cost of all sources of finance, weighted by their market value proportions. It is the minimum return a firm must earn on its investments to satisfy all capital providers. Debt is cheaper than equity because interest is tax-deductible. Preference capital carries a fixed cost but offers no tax shield. Comparing WACC across financing scenarios helps management identify which structure minimizes the cost of capital and </w:t>
      </w:r>
    </w:p>
    <w:sectPr w:rsidR="00153F0B" w:rsidRPr="00E35222" w:rsidSect="00E35222">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37FBF"/>
    <w:multiLevelType w:val="hybridMultilevel"/>
    <w:tmpl w:val="4A10ABA4"/>
    <w:lvl w:ilvl="0" w:tplc="2F089176">
      <w:start w:val="1"/>
      <w:numFmt w:val="bullet"/>
      <w:lvlText w:val="●"/>
      <w:lvlJc w:val="left"/>
      <w:pPr>
        <w:ind w:left="720" w:hanging="360"/>
      </w:pPr>
    </w:lvl>
    <w:lvl w:ilvl="1" w:tplc="C52A68E4">
      <w:start w:val="1"/>
      <w:numFmt w:val="bullet"/>
      <w:lvlText w:val="○"/>
      <w:lvlJc w:val="left"/>
      <w:pPr>
        <w:ind w:left="1440" w:hanging="360"/>
      </w:pPr>
    </w:lvl>
    <w:lvl w:ilvl="2" w:tplc="7CDA1B64">
      <w:start w:val="1"/>
      <w:numFmt w:val="bullet"/>
      <w:lvlText w:val="■"/>
      <w:lvlJc w:val="left"/>
      <w:pPr>
        <w:ind w:left="2160" w:hanging="360"/>
      </w:pPr>
    </w:lvl>
    <w:lvl w:ilvl="3" w:tplc="2C541748">
      <w:start w:val="1"/>
      <w:numFmt w:val="bullet"/>
      <w:lvlText w:val="●"/>
      <w:lvlJc w:val="left"/>
      <w:pPr>
        <w:ind w:left="2880" w:hanging="360"/>
      </w:pPr>
    </w:lvl>
    <w:lvl w:ilvl="4" w:tplc="96F0E2C8">
      <w:start w:val="1"/>
      <w:numFmt w:val="bullet"/>
      <w:lvlText w:val="○"/>
      <w:lvlJc w:val="left"/>
      <w:pPr>
        <w:ind w:left="3600" w:hanging="360"/>
      </w:pPr>
    </w:lvl>
    <w:lvl w:ilvl="5" w:tplc="C45C9A22">
      <w:start w:val="1"/>
      <w:numFmt w:val="bullet"/>
      <w:lvlText w:val="■"/>
      <w:lvlJc w:val="left"/>
      <w:pPr>
        <w:ind w:left="4320" w:hanging="360"/>
      </w:pPr>
    </w:lvl>
    <w:lvl w:ilvl="6" w:tplc="9D183C08">
      <w:start w:val="1"/>
      <w:numFmt w:val="bullet"/>
      <w:lvlText w:val="●"/>
      <w:lvlJc w:val="left"/>
      <w:pPr>
        <w:ind w:left="5040" w:hanging="360"/>
      </w:pPr>
    </w:lvl>
    <w:lvl w:ilvl="7" w:tplc="8BC6B30A">
      <w:start w:val="1"/>
      <w:numFmt w:val="bullet"/>
      <w:lvlText w:val="●"/>
      <w:lvlJc w:val="left"/>
      <w:pPr>
        <w:ind w:left="5760" w:hanging="360"/>
      </w:pPr>
    </w:lvl>
    <w:lvl w:ilvl="8" w:tplc="1BCA59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153F0B"/>
    <w:rsid w:val="00153F0B"/>
    <w:rsid w:val="00233AFB"/>
    <w:rsid w:val="00930262"/>
    <w:rsid w:val="00B47DA4"/>
    <w:rsid w:val="00CB38FA"/>
    <w:rsid w:val="00E03AF4"/>
    <w:rsid w:val="00E35222"/>
    <w:rsid w:val="00F5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A4"/>
  </w:style>
  <w:style w:type="paragraph" w:styleId="Heading1">
    <w:name w:val="heading 1"/>
    <w:qFormat/>
    <w:rsid w:val="00153F0B"/>
    <w:pPr>
      <w:outlineLvl w:val="0"/>
    </w:pPr>
    <w:rPr>
      <w:color w:val="2E74B5"/>
      <w:sz w:val="32"/>
      <w:szCs w:val="32"/>
    </w:rPr>
  </w:style>
  <w:style w:type="paragraph" w:styleId="Heading2">
    <w:name w:val="heading 2"/>
    <w:qFormat/>
    <w:rsid w:val="00153F0B"/>
    <w:pPr>
      <w:outlineLvl w:val="1"/>
    </w:pPr>
    <w:rPr>
      <w:color w:val="2E74B5"/>
      <w:sz w:val="26"/>
      <w:szCs w:val="26"/>
    </w:rPr>
  </w:style>
  <w:style w:type="paragraph" w:styleId="Heading3">
    <w:name w:val="heading 3"/>
    <w:qFormat/>
    <w:rsid w:val="00153F0B"/>
    <w:pPr>
      <w:outlineLvl w:val="2"/>
    </w:pPr>
    <w:rPr>
      <w:color w:val="1F4D78"/>
    </w:rPr>
  </w:style>
  <w:style w:type="paragraph" w:styleId="Heading4">
    <w:name w:val="heading 4"/>
    <w:qFormat/>
    <w:rsid w:val="00153F0B"/>
    <w:pPr>
      <w:outlineLvl w:val="3"/>
    </w:pPr>
    <w:rPr>
      <w:i/>
      <w:iCs/>
      <w:color w:val="2E74B5"/>
    </w:rPr>
  </w:style>
  <w:style w:type="paragraph" w:styleId="Heading5">
    <w:name w:val="heading 5"/>
    <w:qFormat/>
    <w:rsid w:val="00153F0B"/>
    <w:pPr>
      <w:outlineLvl w:val="4"/>
    </w:pPr>
    <w:rPr>
      <w:color w:val="2E74B5"/>
    </w:rPr>
  </w:style>
  <w:style w:type="paragraph" w:styleId="Heading6">
    <w:name w:val="heading 6"/>
    <w:qFormat/>
    <w:rsid w:val="00153F0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53F0B"/>
    <w:rPr>
      <w:sz w:val="56"/>
      <w:szCs w:val="56"/>
    </w:rPr>
  </w:style>
  <w:style w:type="paragraph" w:customStyle="1" w:styleId="Strong1">
    <w:name w:val="Strong1"/>
    <w:qFormat/>
    <w:rsid w:val="00153F0B"/>
    <w:rPr>
      <w:b/>
      <w:bCs/>
    </w:rPr>
  </w:style>
  <w:style w:type="paragraph" w:styleId="ListParagraph">
    <w:name w:val="List Paragraph"/>
    <w:qFormat/>
    <w:rsid w:val="00153F0B"/>
  </w:style>
  <w:style w:type="character" w:styleId="Hyperlink">
    <w:name w:val="Hyperlink"/>
    <w:uiPriority w:val="99"/>
    <w:unhideWhenUsed/>
    <w:rsid w:val="00153F0B"/>
    <w:rPr>
      <w:color w:val="0563C1"/>
      <w:u w:val="single"/>
    </w:rPr>
  </w:style>
  <w:style w:type="character" w:styleId="FootnoteReference">
    <w:name w:val="footnote reference"/>
    <w:uiPriority w:val="99"/>
    <w:semiHidden/>
    <w:unhideWhenUsed/>
    <w:rsid w:val="00153F0B"/>
    <w:rPr>
      <w:vertAlign w:val="superscript"/>
    </w:rPr>
  </w:style>
  <w:style w:type="paragraph" w:styleId="FootnoteText">
    <w:name w:val="footnote text"/>
    <w:link w:val="FootnoteTextChar"/>
    <w:uiPriority w:val="99"/>
    <w:semiHidden/>
    <w:unhideWhenUsed/>
    <w:rsid w:val="00153F0B"/>
    <w:rPr>
      <w:sz w:val="20"/>
      <w:szCs w:val="20"/>
    </w:rPr>
  </w:style>
  <w:style w:type="character" w:customStyle="1" w:styleId="FootnoteTextChar">
    <w:name w:val="Footnote Text Char"/>
    <w:link w:val="FootnoteText"/>
    <w:uiPriority w:val="99"/>
    <w:semiHidden/>
    <w:unhideWhenUsed/>
    <w:rsid w:val="00153F0B"/>
    <w:rPr>
      <w:sz w:val="20"/>
      <w:szCs w:val="20"/>
    </w:rPr>
  </w:style>
  <w:style w:type="table" w:styleId="TableGrid">
    <w:name w:val="Table Grid"/>
    <w:basedOn w:val="TableNormal"/>
    <w:uiPriority w:val="59"/>
    <w:rsid w:val="00CB3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563467">
      <w:bodyDiv w:val="1"/>
      <w:marLeft w:val="0"/>
      <w:marRight w:val="0"/>
      <w:marTop w:val="0"/>
      <w:marBottom w:val="0"/>
      <w:divBdr>
        <w:top w:val="none" w:sz="0" w:space="0" w:color="auto"/>
        <w:left w:val="none" w:sz="0" w:space="0" w:color="auto"/>
        <w:bottom w:val="none" w:sz="0" w:space="0" w:color="auto"/>
        <w:right w:val="none" w:sz="0" w:space="0" w:color="auto"/>
      </w:divBdr>
    </w:div>
    <w:div w:id="884872371">
      <w:bodyDiv w:val="1"/>
      <w:marLeft w:val="0"/>
      <w:marRight w:val="0"/>
      <w:marTop w:val="0"/>
      <w:marBottom w:val="0"/>
      <w:divBdr>
        <w:top w:val="none" w:sz="0" w:space="0" w:color="auto"/>
        <w:left w:val="none" w:sz="0" w:space="0" w:color="auto"/>
        <w:bottom w:val="none" w:sz="0" w:space="0" w:color="auto"/>
        <w:right w:val="none" w:sz="0" w:space="0" w:color="auto"/>
      </w:divBdr>
      <w:divsChild>
        <w:div w:id="1469087667">
          <w:marLeft w:val="0"/>
          <w:marRight w:val="0"/>
          <w:marTop w:val="0"/>
          <w:marBottom w:val="0"/>
          <w:divBdr>
            <w:top w:val="none" w:sz="0" w:space="0" w:color="auto"/>
            <w:left w:val="none" w:sz="0" w:space="0" w:color="auto"/>
            <w:bottom w:val="none" w:sz="0" w:space="0" w:color="auto"/>
            <w:right w:val="none" w:sz="0" w:space="0" w:color="auto"/>
          </w:divBdr>
          <w:divsChild>
            <w:div w:id="1157109527">
              <w:marLeft w:val="0"/>
              <w:marRight w:val="0"/>
              <w:marTop w:val="0"/>
              <w:marBottom w:val="0"/>
              <w:divBdr>
                <w:top w:val="none" w:sz="0" w:space="0" w:color="auto"/>
                <w:left w:val="none" w:sz="0" w:space="0" w:color="auto"/>
                <w:bottom w:val="none" w:sz="0" w:space="0" w:color="auto"/>
                <w:right w:val="none" w:sz="0" w:space="0" w:color="auto"/>
              </w:divBdr>
            </w:div>
          </w:divsChild>
        </w:div>
        <w:div w:id="506867777">
          <w:marLeft w:val="0"/>
          <w:marRight w:val="0"/>
          <w:marTop w:val="0"/>
          <w:marBottom w:val="0"/>
          <w:divBdr>
            <w:top w:val="none" w:sz="0" w:space="0" w:color="auto"/>
            <w:left w:val="none" w:sz="0" w:space="0" w:color="auto"/>
            <w:bottom w:val="none" w:sz="0" w:space="0" w:color="auto"/>
            <w:right w:val="none" w:sz="0" w:space="0" w:color="auto"/>
          </w:divBdr>
          <w:divsChild>
            <w:div w:id="820655756">
              <w:marLeft w:val="0"/>
              <w:marRight w:val="0"/>
              <w:marTop w:val="0"/>
              <w:marBottom w:val="0"/>
              <w:divBdr>
                <w:top w:val="none" w:sz="0" w:space="0" w:color="auto"/>
                <w:left w:val="none" w:sz="0" w:space="0" w:color="auto"/>
                <w:bottom w:val="none" w:sz="0" w:space="0" w:color="auto"/>
                <w:right w:val="none" w:sz="0" w:space="0" w:color="auto"/>
              </w:divBdr>
            </w:div>
          </w:divsChild>
        </w:div>
        <w:div w:id="487792270">
          <w:marLeft w:val="0"/>
          <w:marRight w:val="0"/>
          <w:marTop w:val="0"/>
          <w:marBottom w:val="0"/>
          <w:divBdr>
            <w:top w:val="none" w:sz="0" w:space="0" w:color="auto"/>
            <w:left w:val="none" w:sz="0" w:space="0" w:color="auto"/>
            <w:bottom w:val="none" w:sz="0" w:space="0" w:color="auto"/>
            <w:right w:val="none" w:sz="0" w:space="0" w:color="auto"/>
          </w:divBdr>
          <w:divsChild>
            <w:div w:id="12710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786">
      <w:bodyDiv w:val="1"/>
      <w:marLeft w:val="0"/>
      <w:marRight w:val="0"/>
      <w:marTop w:val="0"/>
      <w:marBottom w:val="0"/>
      <w:divBdr>
        <w:top w:val="none" w:sz="0" w:space="0" w:color="auto"/>
        <w:left w:val="none" w:sz="0" w:space="0" w:color="auto"/>
        <w:bottom w:val="none" w:sz="0" w:space="0" w:color="auto"/>
        <w:right w:val="none" w:sz="0" w:space="0" w:color="auto"/>
      </w:divBdr>
      <w:divsChild>
        <w:div w:id="1759209318">
          <w:marLeft w:val="0"/>
          <w:marRight w:val="0"/>
          <w:marTop w:val="0"/>
          <w:marBottom w:val="0"/>
          <w:divBdr>
            <w:top w:val="none" w:sz="0" w:space="0" w:color="auto"/>
            <w:left w:val="none" w:sz="0" w:space="0" w:color="auto"/>
            <w:bottom w:val="none" w:sz="0" w:space="0" w:color="auto"/>
            <w:right w:val="none" w:sz="0" w:space="0" w:color="auto"/>
          </w:divBdr>
          <w:divsChild>
            <w:div w:id="985475635">
              <w:marLeft w:val="0"/>
              <w:marRight w:val="0"/>
              <w:marTop w:val="0"/>
              <w:marBottom w:val="0"/>
              <w:divBdr>
                <w:top w:val="none" w:sz="0" w:space="0" w:color="auto"/>
                <w:left w:val="none" w:sz="0" w:space="0" w:color="auto"/>
                <w:bottom w:val="none" w:sz="0" w:space="0" w:color="auto"/>
                <w:right w:val="none" w:sz="0" w:space="0" w:color="auto"/>
              </w:divBdr>
            </w:div>
          </w:divsChild>
        </w:div>
        <w:div w:id="704984666">
          <w:marLeft w:val="0"/>
          <w:marRight w:val="0"/>
          <w:marTop w:val="0"/>
          <w:marBottom w:val="0"/>
          <w:divBdr>
            <w:top w:val="none" w:sz="0" w:space="0" w:color="auto"/>
            <w:left w:val="none" w:sz="0" w:space="0" w:color="auto"/>
            <w:bottom w:val="none" w:sz="0" w:space="0" w:color="auto"/>
            <w:right w:val="none" w:sz="0" w:space="0" w:color="auto"/>
          </w:divBdr>
          <w:divsChild>
            <w:div w:id="1344627600">
              <w:marLeft w:val="0"/>
              <w:marRight w:val="0"/>
              <w:marTop w:val="0"/>
              <w:marBottom w:val="0"/>
              <w:divBdr>
                <w:top w:val="none" w:sz="0" w:space="0" w:color="auto"/>
                <w:left w:val="none" w:sz="0" w:space="0" w:color="auto"/>
                <w:bottom w:val="none" w:sz="0" w:space="0" w:color="auto"/>
                <w:right w:val="none" w:sz="0" w:space="0" w:color="auto"/>
              </w:divBdr>
            </w:div>
          </w:divsChild>
        </w:div>
        <w:div w:id="1085422017">
          <w:marLeft w:val="0"/>
          <w:marRight w:val="0"/>
          <w:marTop w:val="0"/>
          <w:marBottom w:val="0"/>
          <w:divBdr>
            <w:top w:val="none" w:sz="0" w:space="0" w:color="auto"/>
            <w:left w:val="none" w:sz="0" w:space="0" w:color="auto"/>
            <w:bottom w:val="none" w:sz="0" w:space="0" w:color="auto"/>
            <w:right w:val="none" w:sz="0" w:space="0" w:color="auto"/>
          </w:divBdr>
          <w:divsChild>
            <w:div w:id="11009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734</Words>
  <Characters>4107</Characters>
  <Application>Microsoft Office Word</Application>
  <DocSecurity>0</DocSecurity>
  <Lines>82</Lines>
  <Paragraphs>45</Paragraphs>
  <ScaleCrop>false</ScaleCrop>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5</cp:revision>
  <dcterms:created xsi:type="dcterms:W3CDTF">2026-03-27T18:36:00Z</dcterms:created>
  <dcterms:modified xsi:type="dcterms:W3CDTF">2026-03-27T20:35:00Z</dcterms:modified>
</cp:coreProperties>
</file>