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FE8" w:rsidRPr="00244225" w:rsidRDefault="00244225" w:rsidP="00244225">
      <w:pPr>
        <w:spacing w:after="60" w:line="360" w:lineRule="auto"/>
        <w:jc w:val="center"/>
        <w:rPr>
          <w:sz w:val="24"/>
          <w:szCs w:val="24"/>
        </w:rPr>
      </w:pPr>
      <w:r w:rsidRPr="00244225">
        <w:rPr>
          <w:b/>
          <w:bCs/>
          <w:sz w:val="24"/>
          <w:szCs w:val="24"/>
        </w:rPr>
        <w:t>Capital Market and Portfolio Management</w:t>
      </w:r>
    </w:p>
    <w:p w:rsidR="008A4FE8" w:rsidRPr="00244225" w:rsidRDefault="00244225" w:rsidP="00244225">
      <w:pPr>
        <w:spacing w:after="300" w:line="360" w:lineRule="auto"/>
        <w:jc w:val="center"/>
        <w:rPr>
          <w:sz w:val="24"/>
          <w:szCs w:val="24"/>
        </w:rPr>
      </w:pPr>
      <w:r w:rsidRPr="00244225">
        <w:rPr>
          <w:b/>
          <w:bCs/>
          <w:sz w:val="24"/>
          <w:szCs w:val="24"/>
        </w:rPr>
        <w:t>Dec 2026 Examination</w:t>
      </w:r>
    </w:p>
    <w:p w:rsidR="00244225" w:rsidRDefault="00244225" w:rsidP="00244225">
      <w:pPr>
        <w:spacing w:after="200" w:line="360" w:lineRule="auto"/>
        <w:jc w:val="both"/>
        <w:rPr>
          <w:b/>
          <w:bCs/>
          <w:iCs/>
          <w:sz w:val="24"/>
          <w:szCs w:val="24"/>
        </w:rPr>
      </w:pPr>
    </w:p>
    <w:p w:rsidR="00244225" w:rsidRDefault="00244225" w:rsidP="00244225">
      <w:pPr>
        <w:spacing w:after="200" w:line="360" w:lineRule="auto"/>
        <w:jc w:val="both"/>
        <w:rPr>
          <w:b/>
          <w:bCs/>
          <w:iCs/>
          <w:sz w:val="24"/>
          <w:szCs w:val="24"/>
        </w:rPr>
      </w:pPr>
    </w:p>
    <w:p w:rsidR="00244225" w:rsidRPr="00244225" w:rsidRDefault="00244225" w:rsidP="00244225">
      <w:pPr>
        <w:spacing w:after="200" w:line="360" w:lineRule="auto"/>
        <w:jc w:val="both"/>
        <w:rPr>
          <w:b/>
          <w:bCs/>
          <w:iCs/>
          <w:sz w:val="24"/>
          <w:szCs w:val="24"/>
        </w:rPr>
      </w:pPr>
      <w:r w:rsidRPr="00244225">
        <w:rPr>
          <w:b/>
          <w:bCs/>
          <w:iCs/>
          <w:sz w:val="24"/>
          <w:szCs w:val="24"/>
        </w:rPr>
        <w:t xml:space="preserve">Q1 </w:t>
      </w:r>
      <w:proofErr w:type="gramStart"/>
      <w:r w:rsidRPr="00244225">
        <w:rPr>
          <w:b/>
          <w:bCs/>
          <w:iCs/>
          <w:sz w:val="24"/>
          <w:szCs w:val="24"/>
        </w:rPr>
        <w:t>A</w:t>
      </w:r>
      <w:proofErr w:type="gramEnd"/>
      <w:r w:rsidRPr="00244225">
        <w:rPr>
          <w:b/>
          <w:bCs/>
          <w:iCs/>
          <w:sz w:val="24"/>
          <w:szCs w:val="24"/>
        </w:rPr>
        <w:t xml:space="preserve"> mid-cap Indian company has been experiencing low trading volumes and wide bid- ask spreads in its shares. At the same time, institutional investors are increasingly using algorithmic trading to execute large orders, while retail investors primarily use online discount-broker platforms.</w:t>
      </w:r>
    </w:p>
    <w:p w:rsidR="00244225" w:rsidRPr="00244225" w:rsidRDefault="00244225" w:rsidP="00244225">
      <w:pPr>
        <w:spacing w:after="200" w:line="360" w:lineRule="auto"/>
        <w:jc w:val="both"/>
        <w:rPr>
          <w:b/>
          <w:bCs/>
          <w:iCs/>
          <w:sz w:val="24"/>
          <w:szCs w:val="24"/>
        </w:rPr>
      </w:pPr>
      <w:r w:rsidRPr="00244225">
        <w:rPr>
          <w:b/>
          <w:bCs/>
          <w:iCs/>
          <w:sz w:val="24"/>
          <w:szCs w:val="24"/>
        </w:rPr>
        <w:t>As a Capital Market Consultant, analyse how market structure and trading mechanisms can influence the liquidity, price discovery and execution quality of such</w:t>
      </w:r>
      <w:r>
        <w:rPr>
          <w:b/>
          <w:bCs/>
          <w:iCs/>
          <w:sz w:val="24"/>
          <w:szCs w:val="24"/>
        </w:rPr>
        <w:t xml:space="preserve"> </w:t>
      </w:r>
      <w:r w:rsidRPr="00244225">
        <w:rPr>
          <w:b/>
          <w:bCs/>
          <w:iCs/>
          <w:sz w:val="24"/>
          <w:szCs w:val="24"/>
        </w:rPr>
        <w:t>a security. In your response:</w:t>
      </w:r>
    </w:p>
    <w:p w:rsidR="00244225" w:rsidRPr="00244225" w:rsidRDefault="00244225" w:rsidP="00244225">
      <w:pPr>
        <w:spacing w:after="200" w:line="360" w:lineRule="auto"/>
        <w:jc w:val="both"/>
        <w:rPr>
          <w:b/>
          <w:bCs/>
          <w:iCs/>
          <w:sz w:val="24"/>
          <w:szCs w:val="24"/>
        </w:rPr>
      </w:pPr>
      <w:r w:rsidRPr="00244225">
        <w:rPr>
          <w:b/>
          <w:bCs/>
          <w:iCs/>
          <w:sz w:val="24"/>
          <w:szCs w:val="24"/>
        </w:rPr>
        <w:t>- compare the roles of exchange-based and OTC markets;</w:t>
      </w:r>
    </w:p>
    <w:p w:rsidR="00244225" w:rsidRPr="00244225" w:rsidRDefault="00244225" w:rsidP="00244225">
      <w:pPr>
        <w:spacing w:after="200" w:line="360" w:lineRule="auto"/>
        <w:jc w:val="both"/>
        <w:rPr>
          <w:b/>
          <w:bCs/>
          <w:iCs/>
          <w:sz w:val="24"/>
          <w:szCs w:val="24"/>
        </w:rPr>
      </w:pPr>
      <w:r w:rsidRPr="00244225">
        <w:rPr>
          <w:b/>
          <w:bCs/>
          <w:iCs/>
          <w:sz w:val="24"/>
          <w:szCs w:val="24"/>
        </w:rPr>
        <w:t>- evaluate the suitability of market orders, limit orders and stop-loss orders for different market participants;</w:t>
      </w:r>
    </w:p>
    <w:p w:rsidR="00244225" w:rsidRPr="00244225" w:rsidRDefault="00244225" w:rsidP="00244225">
      <w:pPr>
        <w:spacing w:after="200" w:line="360" w:lineRule="auto"/>
        <w:jc w:val="both"/>
        <w:rPr>
          <w:b/>
          <w:bCs/>
          <w:iCs/>
          <w:sz w:val="24"/>
          <w:szCs w:val="24"/>
        </w:rPr>
      </w:pPr>
      <w:r w:rsidRPr="00244225">
        <w:rPr>
          <w:b/>
          <w:bCs/>
          <w:iCs/>
          <w:sz w:val="24"/>
          <w:szCs w:val="24"/>
        </w:rPr>
        <w:t>- analyse the role of liquidity and market depth in execution; and</w:t>
      </w:r>
    </w:p>
    <w:p w:rsidR="008A4FE8" w:rsidRPr="00244225" w:rsidRDefault="00244225" w:rsidP="00244225">
      <w:pPr>
        <w:spacing w:after="200" w:line="360" w:lineRule="auto"/>
        <w:jc w:val="both"/>
        <w:rPr>
          <w:b/>
          <w:bCs/>
          <w:iCs/>
          <w:sz w:val="24"/>
          <w:szCs w:val="24"/>
        </w:rPr>
      </w:pPr>
      <w:r w:rsidRPr="00244225">
        <w:rPr>
          <w:b/>
          <w:bCs/>
          <w:iCs/>
          <w:sz w:val="24"/>
          <w:szCs w:val="24"/>
        </w:rPr>
        <w:t>- evaluate how algorithmic trading can influence market efficiency and create risks for market participants.</w:t>
      </w:r>
      <w:r>
        <w:rPr>
          <w:b/>
          <w:bCs/>
          <w:iCs/>
          <w:sz w:val="24"/>
          <w:szCs w:val="24"/>
        </w:rPr>
        <w:t xml:space="preserve"> </w:t>
      </w:r>
      <w:r w:rsidRPr="00244225">
        <w:rPr>
          <w:b/>
          <w:bCs/>
          <w:iCs/>
          <w:sz w:val="24"/>
          <w:szCs w:val="24"/>
        </w:rPr>
        <w:t>(10 Marks)</w:t>
      </w:r>
    </w:p>
    <w:p w:rsidR="008A4FE8" w:rsidRPr="00244225" w:rsidRDefault="00244225" w:rsidP="00244225">
      <w:pPr>
        <w:spacing w:before="240" w:after="120" w:line="360" w:lineRule="auto"/>
        <w:jc w:val="both"/>
        <w:rPr>
          <w:sz w:val="24"/>
          <w:szCs w:val="24"/>
        </w:rPr>
      </w:pPr>
      <w:proofErr w:type="gramStart"/>
      <w:r w:rsidRPr="00244225">
        <w:rPr>
          <w:b/>
          <w:bCs/>
          <w:sz w:val="24"/>
          <w:szCs w:val="24"/>
        </w:rPr>
        <w:t>Ans 1.</w:t>
      </w:r>
      <w:proofErr w:type="gramEnd"/>
    </w:p>
    <w:p w:rsidR="008A4FE8" w:rsidRPr="00244225" w:rsidRDefault="00244225" w:rsidP="00244225">
      <w:pPr>
        <w:spacing w:before="160" w:after="80" w:line="360" w:lineRule="auto"/>
        <w:jc w:val="both"/>
        <w:rPr>
          <w:sz w:val="24"/>
          <w:szCs w:val="24"/>
        </w:rPr>
      </w:pPr>
      <w:r w:rsidRPr="00244225">
        <w:rPr>
          <w:b/>
          <w:bCs/>
          <w:sz w:val="24"/>
          <w:szCs w:val="24"/>
        </w:rPr>
        <w:t>Introduction</w:t>
      </w:r>
    </w:p>
    <w:p w:rsidR="008A4FE8" w:rsidRPr="00244225" w:rsidRDefault="00244225" w:rsidP="002C6B77">
      <w:pPr>
        <w:spacing w:after="160" w:line="360" w:lineRule="auto"/>
        <w:jc w:val="both"/>
        <w:rPr>
          <w:sz w:val="24"/>
          <w:szCs w:val="24"/>
        </w:rPr>
      </w:pPr>
      <w:r w:rsidRPr="00244225">
        <w:rPr>
          <w:sz w:val="24"/>
          <w:szCs w:val="24"/>
        </w:rPr>
        <w:t xml:space="preserve">This mid-cap company is facing low trading volumes and wide bid-ask spreads, a situation that points directly to weak liquidity in its shares. At the same time, institutional investors are placing large orders through algorithmic systems, while retail investors trade mostly through online discount brokers. These differences in participant behaviour and trading technology shape how efficiently the stock can be bought or sold. Understanding the underlying market structure, the available order types, and the influence of algorithmic trading helps explain why this security </w:t>
      </w:r>
    </w:p>
    <w:p w:rsidR="008A4FE8" w:rsidRPr="00244225" w:rsidRDefault="00244225" w:rsidP="00244225">
      <w:pPr>
        <w:spacing w:line="360" w:lineRule="auto"/>
        <w:jc w:val="both"/>
        <w:rPr>
          <w:sz w:val="24"/>
          <w:szCs w:val="24"/>
        </w:rPr>
      </w:pPr>
      <w:r w:rsidRPr="00244225">
        <w:rPr>
          <w:sz w:val="24"/>
          <w:szCs w:val="24"/>
        </w:rPr>
        <w:lastRenderedPageBreak/>
        <w:br/>
      </w:r>
    </w:p>
    <w:p w:rsidR="008A4FE8" w:rsidRPr="00244225" w:rsidRDefault="00244225" w:rsidP="00244225">
      <w:pPr>
        <w:spacing w:after="200" w:line="360" w:lineRule="auto"/>
        <w:jc w:val="both"/>
        <w:rPr>
          <w:sz w:val="24"/>
          <w:szCs w:val="24"/>
        </w:rPr>
      </w:pPr>
      <w:r w:rsidRPr="00244225">
        <w:rPr>
          <w:b/>
          <w:bCs/>
          <w:iCs/>
          <w:sz w:val="24"/>
          <w:szCs w:val="24"/>
        </w:rPr>
        <w:t xml:space="preserve">Q2 (A) </w:t>
      </w:r>
      <w:proofErr w:type="gramStart"/>
      <w:r w:rsidRPr="00244225">
        <w:rPr>
          <w:b/>
          <w:bCs/>
          <w:iCs/>
          <w:sz w:val="24"/>
          <w:szCs w:val="24"/>
        </w:rPr>
        <w:t>During</w:t>
      </w:r>
      <w:proofErr w:type="gramEnd"/>
      <w:r w:rsidRPr="00244225">
        <w:rPr>
          <w:b/>
          <w:bCs/>
          <w:iCs/>
          <w:sz w:val="24"/>
          <w:szCs w:val="24"/>
        </w:rPr>
        <w:t xml:space="preserve"> a sharp rise in the Indian stock market, a large number of retail investors begin purchasing a particular stock simply because "everyone is buying it." Some investors continue holding the stock despite deteriorating fundamentals because they fear realising a loss. As an investment advisor, analyse the behavioural biases reflected in this situation and evaluate how such behaviour challenges the assumptions of the Efficient Market Hypothesis (EMH). Design two practical decision-making measures that investors could adopt to reduce the influence of these biases. (5 Marks)</w:t>
      </w:r>
    </w:p>
    <w:p w:rsidR="008A4FE8" w:rsidRPr="00244225" w:rsidRDefault="00244225" w:rsidP="00244225">
      <w:pPr>
        <w:spacing w:before="240" w:after="120" w:line="360" w:lineRule="auto"/>
        <w:jc w:val="both"/>
        <w:rPr>
          <w:sz w:val="24"/>
          <w:szCs w:val="24"/>
        </w:rPr>
      </w:pPr>
      <w:proofErr w:type="gramStart"/>
      <w:r w:rsidRPr="00244225">
        <w:rPr>
          <w:b/>
          <w:bCs/>
          <w:sz w:val="24"/>
          <w:szCs w:val="24"/>
        </w:rPr>
        <w:t>Ans 2(A).</w:t>
      </w:r>
      <w:proofErr w:type="gramEnd"/>
    </w:p>
    <w:p w:rsidR="008A4FE8" w:rsidRPr="00244225" w:rsidRDefault="00244225" w:rsidP="00244225">
      <w:pPr>
        <w:spacing w:before="160" w:after="80" w:line="360" w:lineRule="auto"/>
        <w:jc w:val="both"/>
        <w:rPr>
          <w:sz w:val="24"/>
          <w:szCs w:val="24"/>
        </w:rPr>
      </w:pPr>
      <w:r w:rsidRPr="00244225">
        <w:rPr>
          <w:b/>
          <w:bCs/>
          <w:sz w:val="24"/>
          <w:szCs w:val="24"/>
        </w:rPr>
        <w:t>Introduction</w:t>
      </w:r>
    </w:p>
    <w:p w:rsidR="008A4FE8" w:rsidRDefault="00244225" w:rsidP="002C6B77">
      <w:pPr>
        <w:spacing w:after="160" w:line="360" w:lineRule="auto"/>
        <w:jc w:val="both"/>
        <w:rPr>
          <w:sz w:val="24"/>
          <w:szCs w:val="24"/>
        </w:rPr>
      </w:pPr>
      <w:r w:rsidRPr="00244225">
        <w:rPr>
          <w:sz w:val="24"/>
          <w:szCs w:val="24"/>
        </w:rPr>
        <w:t xml:space="preserve">Retail investors buying a stock simply because others are buying </w:t>
      </w:r>
      <w:proofErr w:type="gramStart"/>
      <w:r w:rsidRPr="00244225">
        <w:rPr>
          <w:sz w:val="24"/>
          <w:szCs w:val="24"/>
        </w:rPr>
        <w:t>it,</w:t>
      </w:r>
      <w:proofErr w:type="gramEnd"/>
      <w:r w:rsidRPr="00244225">
        <w:rPr>
          <w:sz w:val="24"/>
          <w:szCs w:val="24"/>
        </w:rPr>
        <w:t xml:space="preserve"> and investors holding a losing position rather than accept a loss, both reveal predictable patterns in decision-making rather than purely rational analysis. These patterns are well documented in behavioural finance and put pressure on the Efficient Market Hypothesis. Examining these biases, and how they </w:t>
      </w:r>
    </w:p>
    <w:p w:rsidR="006141F7" w:rsidRPr="006141F7" w:rsidRDefault="006141F7" w:rsidP="006141F7">
      <w:pPr>
        <w:shd w:val="clear" w:color="auto" w:fill="FFFFFF"/>
        <w:spacing w:line="276" w:lineRule="auto"/>
        <w:jc w:val="center"/>
        <w:rPr>
          <w:rFonts w:ascii="Arial" w:eastAsia="Calibri" w:hAnsi="Arial"/>
          <w:color w:val="222222"/>
          <w:lang w:val="en-IN"/>
        </w:rPr>
      </w:pPr>
      <w:proofErr w:type="gramStart"/>
      <w:r w:rsidRPr="006141F7">
        <w:rPr>
          <w:rFonts w:ascii="Georgia" w:eastAsia="Calibri" w:hAnsi="Georgia"/>
          <w:color w:val="000000"/>
          <w:sz w:val="33"/>
          <w:szCs w:val="33"/>
          <w:highlight w:val="cyan"/>
          <w:shd w:val="clear" w:color="auto" w:fill="FF0000"/>
          <w:lang w:val="en-IN"/>
        </w:rPr>
        <w:t>Its</w:t>
      </w:r>
      <w:proofErr w:type="gramEnd"/>
      <w:r w:rsidRPr="006141F7">
        <w:rPr>
          <w:rFonts w:ascii="Georgia" w:eastAsia="Calibri" w:hAnsi="Georgia"/>
          <w:color w:val="000000"/>
          <w:sz w:val="33"/>
          <w:szCs w:val="33"/>
          <w:highlight w:val="cyan"/>
          <w:shd w:val="clear" w:color="auto" w:fill="FF0000"/>
          <w:lang w:val="en-IN"/>
        </w:rPr>
        <w:t xml:space="preserve"> Half solved only</w:t>
      </w:r>
    </w:p>
    <w:p w:rsidR="006141F7" w:rsidRPr="006141F7" w:rsidRDefault="006141F7" w:rsidP="006141F7">
      <w:pPr>
        <w:shd w:val="clear" w:color="auto" w:fill="FFFFFF"/>
        <w:spacing w:before="240" w:after="240" w:line="276" w:lineRule="auto"/>
        <w:jc w:val="center"/>
        <w:rPr>
          <w:rFonts w:ascii="Georgia" w:eastAsia="Calibri" w:hAnsi="Georgia"/>
          <w:sz w:val="40"/>
          <w:szCs w:val="33"/>
          <w:shd w:val="clear" w:color="auto" w:fill="FFFF00"/>
          <w:lang w:val="en-IN"/>
        </w:rPr>
      </w:pPr>
      <w:r w:rsidRPr="006141F7">
        <w:rPr>
          <w:rFonts w:ascii="Georgia" w:eastAsia="Calibri" w:hAnsi="Georgia"/>
          <w:sz w:val="40"/>
          <w:szCs w:val="33"/>
          <w:shd w:val="clear" w:color="auto" w:fill="FFFF00"/>
          <w:lang w:val="en-IN"/>
        </w:rPr>
        <w:t xml:space="preserve">Buy </w:t>
      </w:r>
      <w:proofErr w:type="gramStart"/>
      <w:r w:rsidRPr="006141F7">
        <w:rPr>
          <w:rFonts w:ascii="Georgia" w:eastAsia="Calibri" w:hAnsi="Georgia"/>
          <w:sz w:val="40"/>
          <w:szCs w:val="33"/>
          <w:shd w:val="clear" w:color="auto" w:fill="FFFF00"/>
          <w:lang w:val="en-IN"/>
        </w:rPr>
        <w:t>Complete</w:t>
      </w:r>
      <w:proofErr w:type="gramEnd"/>
      <w:r w:rsidRPr="006141F7">
        <w:rPr>
          <w:rFonts w:ascii="Georgia" w:eastAsia="Calibri" w:hAnsi="Georgia"/>
          <w:sz w:val="40"/>
          <w:szCs w:val="33"/>
          <w:shd w:val="clear" w:color="auto" w:fill="FFFF00"/>
          <w:lang w:val="en-IN"/>
        </w:rPr>
        <w:t xml:space="preserve"> assignment from us</w:t>
      </w:r>
    </w:p>
    <w:p w:rsidR="006141F7" w:rsidRPr="006141F7" w:rsidRDefault="006141F7" w:rsidP="006141F7">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6141F7">
        <w:rPr>
          <w:rFonts w:ascii="Georgia" w:eastAsia="Calibri" w:hAnsi="Georgia"/>
          <w:b/>
          <w:color w:val="222222"/>
          <w:sz w:val="33"/>
          <w:szCs w:val="33"/>
          <w:shd w:val="clear" w:color="auto" w:fill="FFFF00"/>
          <w:lang w:val="en-IN"/>
        </w:rPr>
        <w:t>Price – 190</w:t>
      </w:r>
      <w:proofErr w:type="gramStart"/>
      <w:r w:rsidRPr="006141F7">
        <w:rPr>
          <w:rFonts w:ascii="Georgia" w:eastAsia="Calibri" w:hAnsi="Georgia"/>
          <w:b/>
          <w:color w:val="222222"/>
          <w:sz w:val="33"/>
          <w:szCs w:val="33"/>
          <w:shd w:val="clear" w:color="auto" w:fill="FFFF00"/>
          <w:lang w:val="en-IN"/>
        </w:rPr>
        <w:t>/  assignment</w:t>
      </w:r>
      <w:proofErr w:type="gramEnd"/>
    </w:p>
    <w:p w:rsidR="006141F7" w:rsidRPr="006141F7" w:rsidRDefault="006141F7" w:rsidP="006141F7">
      <w:pPr>
        <w:spacing w:before="240" w:after="240" w:line="276" w:lineRule="auto"/>
        <w:jc w:val="center"/>
        <w:rPr>
          <w:rFonts w:ascii="Georgia" w:eastAsia="Calibri" w:hAnsi="Georgia"/>
          <w:b/>
          <w:bCs/>
          <w:color w:val="FFFFFF"/>
          <w:sz w:val="36"/>
          <w:szCs w:val="36"/>
          <w:shd w:val="clear" w:color="auto" w:fill="FFFF00"/>
          <w:lang w:val="en-IN"/>
        </w:rPr>
      </w:pPr>
      <w:r w:rsidRPr="006141F7">
        <w:rPr>
          <w:rFonts w:ascii="Georgia" w:eastAsia="Calibri" w:hAnsi="Georgia"/>
          <w:b/>
          <w:sz w:val="40"/>
          <w:szCs w:val="40"/>
          <w:highlight w:val="yellow"/>
          <w:lang w:val="en-IN"/>
        </w:rPr>
        <w:t>NMIMS Online University</w:t>
      </w:r>
      <w:r w:rsidRPr="006141F7">
        <w:rPr>
          <w:rFonts w:ascii="Georgia" w:eastAsia="Calibri" w:hAnsi="Georgia"/>
          <w:b/>
          <w:color w:val="222222"/>
          <w:sz w:val="33"/>
          <w:szCs w:val="33"/>
          <w:highlight w:val="yellow"/>
          <w:shd w:val="clear" w:color="auto" w:fill="FFFF00"/>
          <w:lang w:val="en-IN"/>
        </w:rPr>
        <w:t xml:space="preserve"> </w:t>
      </w:r>
      <w:r w:rsidRPr="006141F7">
        <w:rPr>
          <w:rFonts w:ascii="Georgia" w:eastAsia="Calibri" w:hAnsi="Georgia"/>
          <w:b/>
          <w:sz w:val="36"/>
          <w:szCs w:val="36"/>
          <w:lang w:val="en-IN"/>
        </w:rPr>
        <w:t xml:space="preserve">Complete </w:t>
      </w:r>
      <w:proofErr w:type="gramStart"/>
      <w:r w:rsidRPr="006141F7">
        <w:rPr>
          <w:rFonts w:ascii="Georgia" w:eastAsia="Calibri" w:hAnsi="Georgia"/>
          <w:b/>
          <w:sz w:val="36"/>
          <w:szCs w:val="36"/>
          <w:lang w:val="en-IN"/>
        </w:rPr>
        <w:t>SolvedAssignments</w:t>
      </w:r>
      <w:r w:rsidRPr="006141F7">
        <w:rPr>
          <w:rFonts w:ascii="Georgia" w:eastAsia="Calibri" w:hAnsi="Georgia"/>
          <w:b/>
          <w:color w:val="FF0000"/>
          <w:sz w:val="36"/>
          <w:szCs w:val="36"/>
          <w:lang w:val="en-IN"/>
        </w:rPr>
        <w:t xml:space="preserve">  </w:t>
      </w:r>
      <w:r w:rsidRPr="006141F7">
        <w:rPr>
          <w:rFonts w:ascii="Georgia" w:eastAsia="Calibri" w:hAnsi="Georgia"/>
          <w:b/>
          <w:bCs/>
          <w:color w:val="FFFFFF"/>
          <w:sz w:val="36"/>
          <w:szCs w:val="36"/>
          <w:highlight w:val="red"/>
          <w:shd w:val="clear" w:color="auto" w:fill="FFFF00"/>
          <w:lang w:val="en-IN"/>
        </w:rPr>
        <w:t>session</w:t>
      </w:r>
      <w:proofErr w:type="gramEnd"/>
      <w:r w:rsidRPr="006141F7">
        <w:rPr>
          <w:rFonts w:ascii="Georgia" w:eastAsia="Calibri" w:hAnsi="Georgia"/>
          <w:b/>
          <w:bCs/>
          <w:color w:val="FFFFFF"/>
          <w:sz w:val="36"/>
          <w:szCs w:val="36"/>
          <w:highlight w:val="red"/>
          <w:shd w:val="clear" w:color="auto" w:fill="FFFF00"/>
          <w:lang w:val="en-IN"/>
        </w:rPr>
        <w:t xml:space="preserve"> DEC  2026</w:t>
      </w:r>
    </w:p>
    <w:p w:rsidR="006141F7" w:rsidRPr="006141F7" w:rsidRDefault="006141F7" w:rsidP="006141F7">
      <w:pPr>
        <w:spacing w:before="240" w:after="240" w:line="276" w:lineRule="auto"/>
        <w:jc w:val="center"/>
        <w:rPr>
          <w:rFonts w:ascii="Georgia" w:eastAsia="Calibri" w:hAnsi="Georgia"/>
          <w:b/>
          <w:sz w:val="36"/>
          <w:szCs w:val="36"/>
          <w:lang w:val="en-IN"/>
        </w:rPr>
      </w:pPr>
      <w:r w:rsidRPr="006141F7">
        <w:rPr>
          <w:rFonts w:ascii="Georgia" w:eastAsia="Calibri" w:hAnsi="Georgia"/>
          <w:b/>
          <w:sz w:val="36"/>
          <w:szCs w:val="36"/>
          <w:highlight w:val="cyan"/>
          <w:lang w:val="en-IN"/>
        </w:rPr>
        <w:t>Last date 28 Oct 2026</w:t>
      </w:r>
    </w:p>
    <w:p w:rsidR="006141F7" w:rsidRPr="006141F7" w:rsidRDefault="006141F7" w:rsidP="006141F7">
      <w:pPr>
        <w:spacing w:before="240" w:after="240" w:line="276" w:lineRule="auto"/>
        <w:jc w:val="center"/>
        <w:rPr>
          <w:rFonts w:ascii="Georgia" w:eastAsia="Calibri" w:hAnsi="Georgia"/>
          <w:sz w:val="32"/>
          <w:szCs w:val="32"/>
          <w:lang w:val="en-IN"/>
        </w:rPr>
      </w:pPr>
      <w:proofErr w:type="gramStart"/>
      <w:r w:rsidRPr="006141F7">
        <w:rPr>
          <w:rFonts w:ascii="Georgia" w:eastAsia="Calibri" w:hAnsi="Georgia"/>
          <w:sz w:val="32"/>
          <w:szCs w:val="32"/>
          <w:lang w:val="en-IN"/>
        </w:rPr>
        <w:t>buy</w:t>
      </w:r>
      <w:proofErr w:type="gramEnd"/>
      <w:r w:rsidRPr="006141F7">
        <w:rPr>
          <w:rFonts w:ascii="Georgia" w:eastAsia="Calibri" w:hAnsi="Georgia"/>
          <w:sz w:val="32"/>
          <w:szCs w:val="32"/>
          <w:lang w:val="en-IN"/>
        </w:rPr>
        <w:t xml:space="preserve"> cheap assignment help online from us easily</w:t>
      </w:r>
    </w:p>
    <w:p w:rsidR="006141F7" w:rsidRPr="006141F7" w:rsidRDefault="006141F7" w:rsidP="006141F7">
      <w:pPr>
        <w:spacing w:before="240" w:after="240" w:line="276" w:lineRule="auto"/>
        <w:jc w:val="center"/>
        <w:rPr>
          <w:rFonts w:ascii="Georgia" w:eastAsia="Calibri" w:hAnsi="Georgia"/>
          <w:sz w:val="32"/>
          <w:szCs w:val="32"/>
          <w:lang w:val="en-GB"/>
        </w:rPr>
      </w:pPr>
      <w:proofErr w:type="gramStart"/>
      <w:r w:rsidRPr="006141F7">
        <w:rPr>
          <w:rFonts w:ascii="Georgia" w:eastAsia="Calibri" w:hAnsi="Georgia"/>
          <w:sz w:val="32"/>
          <w:szCs w:val="32"/>
          <w:lang w:val="en-IN"/>
        </w:rPr>
        <w:t>we</w:t>
      </w:r>
      <w:proofErr w:type="gramEnd"/>
      <w:r w:rsidRPr="006141F7">
        <w:rPr>
          <w:rFonts w:ascii="Georgia" w:eastAsia="Calibri" w:hAnsi="Georgia"/>
          <w:sz w:val="32"/>
          <w:szCs w:val="32"/>
          <w:lang w:val="en-IN"/>
        </w:rPr>
        <w:t xml:space="preserve"> are here to help you with the best and cheap help </w:t>
      </w:r>
    </w:p>
    <w:p w:rsidR="006141F7" w:rsidRPr="006141F7" w:rsidRDefault="006141F7" w:rsidP="006141F7">
      <w:pPr>
        <w:spacing w:before="240" w:after="240" w:line="276" w:lineRule="auto"/>
        <w:jc w:val="center"/>
        <w:rPr>
          <w:rFonts w:ascii="Georgia" w:eastAsia="Calibri" w:hAnsi="Georgia"/>
          <w:b/>
          <w:sz w:val="44"/>
          <w:szCs w:val="44"/>
          <w:lang w:val="en-IN"/>
        </w:rPr>
      </w:pPr>
      <w:r w:rsidRPr="006141F7">
        <w:rPr>
          <w:rFonts w:ascii="Georgia" w:eastAsia="Calibri" w:hAnsi="Georgia"/>
          <w:b/>
          <w:sz w:val="36"/>
          <w:szCs w:val="36"/>
          <w:lang w:val="en-IN"/>
        </w:rPr>
        <w:t>Contact No –</w:t>
      </w:r>
      <w:r w:rsidRPr="006141F7">
        <w:rPr>
          <w:rFonts w:ascii="Georgia" w:eastAsia="Calibri" w:hAnsi="Georgia"/>
          <w:b/>
          <w:sz w:val="44"/>
          <w:szCs w:val="44"/>
          <w:lang w:val="en-IN"/>
        </w:rPr>
        <w:t xml:space="preserve"> </w:t>
      </w:r>
      <w:r w:rsidRPr="006141F7">
        <w:rPr>
          <w:rFonts w:ascii="Georgia" w:eastAsia="Calibri" w:hAnsi="Georgia"/>
          <w:b/>
          <w:sz w:val="40"/>
          <w:szCs w:val="40"/>
          <w:highlight w:val="yellow"/>
          <w:lang w:val="en-IN"/>
        </w:rPr>
        <w:t>8791514139</w:t>
      </w:r>
      <w:r w:rsidRPr="006141F7">
        <w:rPr>
          <w:rFonts w:ascii="Georgia" w:eastAsia="Calibri" w:hAnsi="Georgia"/>
          <w:b/>
          <w:sz w:val="40"/>
          <w:szCs w:val="40"/>
          <w:lang w:val="en-IN"/>
        </w:rPr>
        <w:t xml:space="preserve"> (WhatsApp)</w:t>
      </w:r>
    </w:p>
    <w:p w:rsidR="006141F7" w:rsidRPr="006141F7" w:rsidRDefault="006141F7" w:rsidP="006141F7">
      <w:pPr>
        <w:spacing w:before="240" w:after="240" w:line="276" w:lineRule="auto"/>
        <w:jc w:val="center"/>
        <w:rPr>
          <w:rFonts w:ascii="Georgia" w:eastAsia="Calibri" w:hAnsi="Georgia"/>
          <w:b/>
          <w:sz w:val="32"/>
          <w:szCs w:val="32"/>
          <w:lang w:val="en-IN"/>
        </w:rPr>
      </w:pPr>
      <w:r w:rsidRPr="006141F7">
        <w:rPr>
          <w:rFonts w:ascii="Georgia" w:eastAsia="Calibri" w:hAnsi="Georgia"/>
          <w:b/>
          <w:sz w:val="32"/>
          <w:szCs w:val="32"/>
          <w:lang w:val="en-IN"/>
        </w:rPr>
        <w:lastRenderedPageBreak/>
        <w:t>OR</w:t>
      </w:r>
    </w:p>
    <w:p w:rsidR="006141F7" w:rsidRPr="006141F7" w:rsidRDefault="006141F7" w:rsidP="006141F7">
      <w:pPr>
        <w:spacing w:before="240" w:after="240" w:line="276" w:lineRule="auto"/>
        <w:jc w:val="center"/>
        <w:rPr>
          <w:rFonts w:ascii="Georgia" w:eastAsia="Calibri" w:hAnsi="Georgia"/>
          <w:b/>
          <w:sz w:val="32"/>
          <w:szCs w:val="32"/>
          <w:lang w:val="en-IN"/>
        </w:rPr>
      </w:pPr>
      <w:r w:rsidRPr="006141F7">
        <w:rPr>
          <w:rFonts w:ascii="Georgia" w:eastAsia="Calibri" w:hAnsi="Georgia"/>
          <w:b/>
          <w:sz w:val="32"/>
          <w:szCs w:val="32"/>
          <w:lang w:val="en-IN"/>
        </w:rPr>
        <w:t>Mail us</w:t>
      </w:r>
      <w:proofErr w:type="gramStart"/>
      <w:r w:rsidRPr="006141F7">
        <w:rPr>
          <w:rFonts w:ascii="Georgia" w:eastAsia="Calibri" w:hAnsi="Georgia"/>
          <w:b/>
          <w:sz w:val="32"/>
          <w:szCs w:val="32"/>
          <w:lang w:val="en-IN"/>
        </w:rPr>
        <w:t xml:space="preserve">-  </w:t>
      </w:r>
      <w:proofErr w:type="gramEnd"/>
      <w:r w:rsidRPr="006141F7">
        <w:rPr>
          <w:rFonts w:ascii="Calibri" w:eastAsia="Calibri" w:hAnsi="Calibri"/>
          <w:sz w:val="22"/>
          <w:szCs w:val="22"/>
          <w:lang w:val="en-IN"/>
        </w:rPr>
        <w:fldChar w:fldCharType="begin"/>
      </w:r>
      <w:r w:rsidRPr="006141F7">
        <w:rPr>
          <w:rFonts w:ascii="Calibri" w:eastAsia="Calibri" w:hAnsi="Calibri"/>
          <w:sz w:val="22"/>
          <w:szCs w:val="22"/>
          <w:lang w:val="en-IN"/>
        </w:rPr>
        <w:instrText>HYPERLINK "mailto:bestassignment247@gmail.com"</w:instrText>
      </w:r>
      <w:r w:rsidRPr="006141F7">
        <w:rPr>
          <w:rFonts w:ascii="Calibri" w:eastAsia="Calibri" w:hAnsi="Calibri"/>
          <w:sz w:val="22"/>
          <w:szCs w:val="22"/>
          <w:lang w:val="en-IN"/>
        </w:rPr>
        <w:fldChar w:fldCharType="separate"/>
      </w:r>
      <w:r w:rsidRPr="006141F7">
        <w:rPr>
          <w:rFonts w:ascii="Georgia" w:eastAsia="Calibri" w:hAnsi="Georgia"/>
          <w:b/>
          <w:color w:val="0000FF"/>
          <w:sz w:val="32"/>
          <w:szCs w:val="22"/>
          <w:u w:val="single"/>
          <w:lang w:val="en-IN"/>
        </w:rPr>
        <w:t>bestassignment247@gmail.com</w:t>
      </w:r>
      <w:r w:rsidRPr="006141F7">
        <w:rPr>
          <w:rFonts w:ascii="Calibri" w:eastAsia="Calibri" w:hAnsi="Calibri"/>
          <w:sz w:val="22"/>
          <w:szCs w:val="22"/>
          <w:lang w:val="en-IN"/>
        </w:rPr>
        <w:fldChar w:fldCharType="end"/>
      </w:r>
    </w:p>
    <w:p w:rsidR="006141F7" w:rsidRPr="006141F7" w:rsidRDefault="006141F7" w:rsidP="006141F7">
      <w:pPr>
        <w:spacing w:after="200" w:line="360" w:lineRule="auto"/>
        <w:jc w:val="center"/>
        <w:rPr>
          <w:rFonts w:eastAsia="Calibri"/>
          <w:sz w:val="22"/>
          <w:szCs w:val="22"/>
          <w:lang w:val="en-IN"/>
        </w:rPr>
      </w:pPr>
      <w:r w:rsidRPr="006141F7">
        <w:rPr>
          <w:rFonts w:ascii="Georgia" w:eastAsia="Calibri" w:hAnsi="Georgia"/>
          <w:b/>
          <w:sz w:val="32"/>
          <w:szCs w:val="32"/>
          <w:lang w:val="en-IN"/>
        </w:rPr>
        <w:t xml:space="preserve">Our website - </w:t>
      </w:r>
      <w:hyperlink r:id="rId5" w:history="1">
        <w:r w:rsidRPr="006141F7">
          <w:rPr>
            <w:rFonts w:ascii="Georgia" w:eastAsia="Calibri" w:hAnsi="Georgia"/>
            <w:b/>
            <w:color w:val="0000FF"/>
            <w:sz w:val="32"/>
            <w:u w:val="single"/>
            <w:lang w:val="en-IN"/>
          </w:rPr>
          <w:t>www.assignmentsupport.in</w:t>
        </w:r>
      </w:hyperlink>
    </w:p>
    <w:p w:rsidR="002C6B77" w:rsidRDefault="002C6B77" w:rsidP="002C6B77">
      <w:pPr>
        <w:spacing w:after="160" w:line="360" w:lineRule="auto"/>
        <w:jc w:val="both"/>
        <w:rPr>
          <w:sz w:val="24"/>
          <w:szCs w:val="24"/>
        </w:rPr>
      </w:pPr>
    </w:p>
    <w:p w:rsidR="002C6B77" w:rsidRDefault="002C6B77" w:rsidP="002C6B77">
      <w:pPr>
        <w:spacing w:after="160" w:line="360" w:lineRule="auto"/>
        <w:jc w:val="both"/>
        <w:rPr>
          <w:sz w:val="24"/>
          <w:szCs w:val="24"/>
        </w:rPr>
      </w:pPr>
    </w:p>
    <w:p w:rsidR="00244225" w:rsidRPr="00244225" w:rsidRDefault="00244225" w:rsidP="00244225">
      <w:pPr>
        <w:spacing w:after="200" w:line="360" w:lineRule="auto"/>
        <w:jc w:val="both"/>
        <w:rPr>
          <w:b/>
          <w:bCs/>
          <w:iCs/>
          <w:sz w:val="24"/>
          <w:szCs w:val="24"/>
        </w:rPr>
      </w:pPr>
      <w:r w:rsidRPr="00244225">
        <w:rPr>
          <w:b/>
          <w:bCs/>
          <w:iCs/>
          <w:sz w:val="24"/>
          <w:szCs w:val="24"/>
        </w:rPr>
        <w:t xml:space="preserve">Q2 (B) Two diversified equity portfolios, Alpha Fund and Beta Fund, </w:t>
      </w:r>
      <w:proofErr w:type="gramStart"/>
      <w:r w:rsidRPr="00244225">
        <w:rPr>
          <w:b/>
          <w:bCs/>
          <w:iCs/>
          <w:sz w:val="24"/>
          <w:szCs w:val="24"/>
        </w:rPr>
        <w:t>have</w:t>
      </w:r>
      <w:proofErr w:type="gramEnd"/>
      <w:r w:rsidRPr="00244225">
        <w:rPr>
          <w:b/>
          <w:bCs/>
          <w:iCs/>
          <w:sz w:val="24"/>
          <w:szCs w:val="24"/>
        </w:rPr>
        <w:t xml:space="preserve"> generated the following annual performance:</w:t>
      </w:r>
    </w:p>
    <w:tbl>
      <w:tblPr>
        <w:tblW w:w="5000" w:type="pct"/>
        <w:tblCellMar>
          <w:left w:w="0" w:type="dxa"/>
          <w:right w:w="0" w:type="dxa"/>
        </w:tblCellMar>
        <w:tblLook w:val="0000"/>
      </w:tblPr>
      <w:tblGrid>
        <w:gridCol w:w="3129"/>
        <w:gridCol w:w="3119"/>
        <w:gridCol w:w="3128"/>
      </w:tblGrid>
      <w:tr w:rsidR="00244225" w:rsidRPr="00244225" w:rsidTr="00244225">
        <w:trPr>
          <w:trHeight w:hRule="exact" w:val="558"/>
        </w:trPr>
        <w:tc>
          <w:tcPr>
            <w:tcW w:w="1668" w:type="pct"/>
            <w:tcBorders>
              <w:top w:val="single" w:sz="6" w:space="0" w:color="000000"/>
              <w:left w:val="single" w:sz="6" w:space="0" w:color="000000"/>
              <w:bottom w:val="single" w:sz="4" w:space="0" w:color="000000"/>
              <w:right w:val="single" w:sz="4" w:space="0" w:color="000000"/>
            </w:tcBorders>
          </w:tcPr>
          <w:p w:rsidR="00244225" w:rsidRPr="00244225" w:rsidRDefault="00244225" w:rsidP="00244225">
            <w:pPr>
              <w:spacing w:after="200" w:line="360" w:lineRule="auto"/>
              <w:jc w:val="both"/>
              <w:rPr>
                <w:b/>
                <w:bCs/>
                <w:iCs/>
                <w:sz w:val="24"/>
                <w:szCs w:val="24"/>
              </w:rPr>
            </w:pPr>
            <w:r w:rsidRPr="00244225">
              <w:rPr>
                <w:b/>
                <w:bCs/>
                <w:iCs/>
                <w:sz w:val="24"/>
                <w:szCs w:val="24"/>
              </w:rPr>
              <w:t>Standard Deviation</w:t>
            </w:r>
          </w:p>
        </w:tc>
        <w:tc>
          <w:tcPr>
            <w:tcW w:w="1663" w:type="pct"/>
            <w:tcBorders>
              <w:top w:val="single" w:sz="6" w:space="0" w:color="000000"/>
              <w:left w:val="single" w:sz="4" w:space="0" w:color="000000"/>
              <w:bottom w:val="single" w:sz="4" w:space="0" w:color="000000"/>
              <w:right w:val="single" w:sz="4" w:space="0" w:color="000000"/>
            </w:tcBorders>
          </w:tcPr>
          <w:p w:rsidR="00244225" w:rsidRPr="00244225" w:rsidRDefault="00244225" w:rsidP="00244225">
            <w:pPr>
              <w:spacing w:after="200" w:line="360" w:lineRule="auto"/>
              <w:jc w:val="both"/>
              <w:rPr>
                <w:b/>
                <w:bCs/>
                <w:iCs/>
                <w:sz w:val="24"/>
                <w:szCs w:val="24"/>
              </w:rPr>
            </w:pPr>
            <w:r w:rsidRPr="00244225">
              <w:rPr>
                <w:b/>
                <w:bCs/>
                <w:iCs/>
                <w:sz w:val="24"/>
                <w:szCs w:val="24"/>
              </w:rPr>
              <w:t>12%</w:t>
            </w:r>
          </w:p>
        </w:tc>
        <w:tc>
          <w:tcPr>
            <w:tcW w:w="1668" w:type="pct"/>
            <w:tcBorders>
              <w:top w:val="single" w:sz="6" w:space="0" w:color="000000"/>
              <w:left w:val="single" w:sz="4" w:space="0" w:color="000000"/>
              <w:bottom w:val="single" w:sz="4" w:space="0" w:color="000000"/>
              <w:right w:val="single" w:sz="6" w:space="0" w:color="000000"/>
            </w:tcBorders>
          </w:tcPr>
          <w:p w:rsidR="00244225" w:rsidRPr="00244225" w:rsidRDefault="00244225" w:rsidP="00244225">
            <w:pPr>
              <w:spacing w:after="200" w:line="360" w:lineRule="auto"/>
              <w:jc w:val="both"/>
              <w:rPr>
                <w:b/>
                <w:bCs/>
                <w:iCs/>
                <w:sz w:val="24"/>
                <w:szCs w:val="24"/>
              </w:rPr>
            </w:pPr>
            <w:r w:rsidRPr="00244225">
              <w:rPr>
                <w:b/>
                <w:bCs/>
                <w:iCs/>
                <w:sz w:val="24"/>
                <w:szCs w:val="24"/>
              </w:rPr>
              <w:t>10%</w:t>
            </w:r>
          </w:p>
        </w:tc>
      </w:tr>
      <w:tr w:rsidR="00244225" w:rsidRPr="00244225" w:rsidTr="00244225">
        <w:trPr>
          <w:trHeight w:hRule="exact" w:val="559"/>
        </w:trPr>
        <w:tc>
          <w:tcPr>
            <w:tcW w:w="1668" w:type="pct"/>
            <w:tcBorders>
              <w:top w:val="single" w:sz="4" w:space="0" w:color="000000"/>
              <w:left w:val="single" w:sz="6" w:space="0" w:color="000000"/>
              <w:bottom w:val="single" w:sz="6" w:space="0" w:color="000000"/>
              <w:right w:val="single" w:sz="4" w:space="0" w:color="000000"/>
            </w:tcBorders>
          </w:tcPr>
          <w:p w:rsidR="00244225" w:rsidRPr="00244225" w:rsidRDefault="00244225" w:rsidP="00244225">
            <w:pPr>
              <w:spacing w:after="200" w:line="360" w:lineRule="auto"/>
              <w:jc w:val="both"/>
              <w:rPr>
                <w:b/>
                <w:bCs/>
                <w:iCs/>
                <w:sz w:val="24"/>
                <w:szCs w:val="24"/>
              </w:rPr>
            </w:pPr>
            <w:r w:rsidRPr="00244225">
              <w:rPr>
                <w:b/>
                <w:bCs/>
                <w:iCs/>
                <w:sz w:val="24"/>
                <w:szCs w:val="24"/>
              </w:rPr>
              <w:t>Beta</w:t>
            </w:r>
          </w:p>
        </w:tc>
        <w:tc>
          <w:tcPr>
            <w:tcW w:w="1663" w:type="pct"/>
            <w:tcBorders>
              <w:top w:val="single" w:sz="4" w:space="0" w:color="000000"/>
              <w:left w:val="single" w:sz="4" w:space="0" w:color="000000"/>
              <w:bottom w:val="single" w:sz="6" w:space="0" w:color="000000"/>
              <w:right w:val="single" w:sz="4" w:space="0" w:color="000000"/>
            </w:tcBorders>
          </w:tcPr>
          <w:p w:rsidR="00244225" w:rsidRPr="00244225" w:rsidRDefault="00244225" w:rsidP="00244225">
            <w:pPr>
              <w:spacing w:after="200" w:line="360" w:lineRule="auto"/>
              <w:jc w:val="both"/>
              <w:rPr>
                <w:b/>
                <w:bCs/>
                <w:iCs/>
                <w:sz w:val="24"/>
                <w:szCs w:val="24"/>
              </w:rPr>
            </w:pPr>
            <w:r w:rsidRPr="00244225">
              <w:rPr>
                <w:b/>
                <w:bCs/>
                <w:iCs/>
                <w:sz w:val="24"/>
                <w:szCs w:val="24"/>
              </w:rPr>
              <w:t>1.25</w:t>
            </w:r>
          </w:p>
        </w:tc>
        <w:tc>
          <w:tcPr>
            <w:tcW w:w="1668" w:type="pct"/>
            <w:tcBorders>
              <w:top w:val="single" w:sz="4" w:space="0" w:color="000000"/>
              <w:left w:val="single" w:sz="4" w:space="0" w:color="000000"/>
              <w:bottom w:val="single" w:sz="6" w:space="0" w:color="000000"/>
              <w:right w:val="single" w:sz="6" w:space="0" w:color="000000"/>
            </w:tcBorders>
          </w:tcPr>
          <w:p w:rsidR="00244225" w:rsidRPr="00244225" w:rsidRDefault="00244225" w:rsidP="00244225">
            <w:pPr>
              <w:spacing w:after="200" w:line="360" w:lineRule="auto"/>
              <w:jc w:val="both"/>
              <w:rPr>
                <w:b/>
                <w:bCs/>
                <w:iCs/>
                <w:sz w:val="24"/>
                <w:szCs w:val="24"/>
              </w:rPr>
            </w:pPr>
            <w:r w:rsidRPr="00244225">
              <w:rPr>
                <w:b/>
                <w:bCs/>
                <w:iCs/>
                <w:sz w:val="24"/>
                <w:szCs w:val="24"/>
              </w:rPr>
              <w:t>0.90</w:t>
            </w:r>
          </w:p>
        </w:tc>
      </w:tr>
    </w:tbl>
    <w:p w:rsidR="00244225" w:rsidRDefault="00244225" w:rsidP="00244225">
      <w:pPr>
        <w:spacing w:after="200" w:line="360" w:lineRule="auto"/>
        <w:jc w:val="both"/>
        <w:rPr>
          <w:b/>
          <w:bCs/>
          <w:iCs/>
          <w:sz w:val="24"/>
          <w:szCs w:val="24"/>
        </w:rPr>
      </w:pPr>
    </w:p>
    <w:p w:rsidR="00244225" w:rsidRPr="00244225" w:rsidRDefault="00244225" w:rsidP="00244225">
      <w:pPr>
        <w:spacing w:after="200" w:line="360" w:lineRule="auto"/>
        <w:jc w:val="both"/>
        <w:rPr>
          <w:b/>
          <w:bCs/>
          <w:iCs/>
          <w:sz w:val="24"/>
          <w:szCs w:val="24"/>
        </w:rPr>
      </w:pPr>
      <w:r w:rsidRPr="00244225">
        <w:rPr>
          <w:b/>
          <w:bCs/>
          <w:iCs/>
          <w:sz w:val="24"/>
          <w:szCs w:val="24"/>
        </w:rPr>
        <w:t>The market return during the period was 12%. Required:</w:t>
      </w:r>
    </w:p>
    <w:p w:rsidR="00244225" w:rsidRPr="00244225" w:rsidRDefault="00244225" w:rsidP="00244225">
      <w:pPr>
        <w:spacing w:after="200" w:line="360" w:lineRule="auto"/>
        <w:jc w:val="both"/>
        <w:rPr>
          <w:b/>
          <w:bCs/>
          <w:iCs/>
          <w:sz w:val="24"/>
          <w:szCs w:val="24"/>
        </w:rPr>
      </w:pPr>
      <w:r w:rsidRPr="00244225">
        <w:rPr>
          <w:b/>
          <w:bCs/>
          <w:iCs/>
          <w:sz w:val="24"/>
          <w:szCs w:val="24"/>
        </w:rPr>
        <w:t>a) Calculate the Sharpe Ratio and Treynor Ratio for both portfolios. (3 Marks)</w:t>
      </w:r>
    </w:p>
    <w:p w:rsidR="00244225" w:rsidRDefault="00244225" w:rsidP="00244225">
      <w:pPr>
        <w:spacing w:after="200" w:line="360" w:lineRule="auto"/>
        <w:jc w:val="both"/>
        <w:rPr>
          <w:b/>
          <w:bCs/>
          <w:iCs/>
          <w:sz w:val="24"/>
          <w:szCs w:val="24"/>
        </w:rPr>
      </w:pPr>
      <w:r w:rsidRPr="00244225">
        <w:rPr>
          <w:b/>
          <w:bCs/>
          <w:iCs/>
          <w:sz w:val="24"/>
          <w:szCs w:val="24"/>
        </w:rPr>
        <w:t>b) Based on the results, identify which portfolio provides better risk-adjusted performance under each measure and explain briefly why the rankings differ. (2Marks)</w:t>
      </w:r>
    </w:p>
    <w:p w:rsidR="00244225" w:rsidRPr="00244225" w:rsidRDefault="00244225" w:rsidP="00244225">
      <w:pPr>
        <w:spacing w:after="200" w:line="360" w:lineRule="auto"/>
        <w:jc w:val="both"/>
        <w:rPr>
          <w:b/>
          <w:bCs/>
          <w:iCs/>
          <w:sz w:val="24"/>
          <w:szCs w:val="24"/>
        </w:rPr>
      </w:pPr>
      <w:r w:rsidRPr="00244225">
        <w:rPr>
          <w:b/>
          <w:bCs/>
          <w:iCs/>
          <w:sz w:val="24"/>
          <w:szCs w:val="24"/>
        </w:rPr>
        <w:t>(5 Marks)</w:t>
      </w:r>
    </w:p>
    <w:p w:rsidR="008A4FE8" w:rsidRPr="00244225" w:rsidRDefault="00244225" w:rsidP="00244225">
      <w:pPr>
        <w:spacing w:before="240" w:after="120" w:line="360" w:lineRule="auto"/>
        <w:jc w:val="both"/>
        <w:rPr>
          <w:sz w:val="24"/>
          <w:szCs w:val="24"/>
        </w:rPr>
      </w:pPr>
      <w:proofErr w:type="gramStart"/>
      <w:r w:rsidRPr="00244225">
        <w:rPr>
          <w:b/>
          <w:bCs/>
          <w:sz w:val="24"/>
          <w:szCs w:val="24"/>
        </w:rPr>
        <w:t>Ans 2(B).</w:t>
      </w:r>
      <w:proofErr w:type="gramEnd"/>
    </w:p>
    <w:p w:rsidR="008A4FE8" w:rsidRPr="00244225" w:rsidRDefault="00244225" w:rsidP="00244225">
      <w:pPr>
        <w:spacing w:before="160" w:after="80" w:line="360" w:lineRule="auto"/>
        <w:jc w:val="both"/>
        <w:rPr>
          <w:sz w:val="24"/>
          <w:szCs w:val="24"/>
        </w:rPr>
      </w:pPr>
      <w:r w:rsidRPr="00244225">
        <w:rPr>
          <w:b/>
          <w:bCs/>
          <w:sz w:val="24"/>
          <w:szCs w:val="24"/>
        </w:rPr>
        <w:t>Introduction</w:t>
      </w:r>
    </w:p>
    <w:p w:rsidR="008A4FE8" w:rsidRPr="00244225" w:rsidRDefault="00244225" w:rsidP="002C6B77">
      <w:pPr>
        <w:spacing w:after="160" w:line="360" w:lineRule="auto"/>
        <w:jc w:val="both"/>
        <w:rPr>
          <w:sz w:val="24"/>
          <w:szCs w:val="24"/>
        </w:rPr>
      </w:pPr>
      <w:r w:rsidRPr="00244225">
        <w:rPr>
          <w:sz w:val="24"/>
          <w:szCs w:val="24"/>
        </w:rPr>
        <w:t xml:space="preserve">Alpha Fund and Beta Fund have each delivered solid returns above the risk-free rate, but a raw comparison of returns alone does not reveal how much risk each fund took. The Sharpe Ratio and Treynor Ratio offer two distinct ways of adjusting returns for risk, using different risk definitions. Comparing both funds under each measure shows why the two ratios can produce </w:t>
      </w:r>
    </w:p>
    <w:sectPr w:rsidR="008A4FE8" w:rsidRPr="00244225" w:rsidSect="00244225">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678D8"/>
    <w:multiLevelType w:val="hybridMultilevel"/>
    <w:tmpl w:val="8C5408F2"/>
    <w:lvl w:ilvl="0" w:tplc="691241F2">
      <w:start w:val="1"/>
      <w:numFmt w:val="bullet"/>
      <w:lvlText w:val="●"/>
      <w:lvlJc w:val="left"/>
      <w:pPr>
        <w:ind w:left="720" w:hanging="360"/>
      </w:pPr>
    </w:lvl>
    <w:lvl w:ilvl="1" w:tplc="75F01CAC">
      <w:start w:val="1"/>
      <w:numFmt w:val="bullet"/>
      <w:lvlText w:val="○"/>
      <w:lvlJc w:val="left"/>
      <w:pPr>
        <w:ind w:left="1440" w:hanging="360"/>
      </w:pPr>
    </w:lvl>
    <w:lvl w:ilvl="2" w:tplc="482AD4AC">
      <w:start w:val="1"/>
      <w:numFmt w:val="bullet"/>
      <w:lvlText w:val="■"/>
      <w:lvlJc w:val="left"/>
      <w:pPr>
        <w:ind w:left="2160" w:hanging="360"/>
      </w:pPr>
    </w:lvl>
    <w:lvl w:ilvl="3" w:tplc="5066D426">
      <w:start w:val="1"/>
      <w:numFmt w:val="bullet"/>
      <w:lvlText w:val="●"/>
      <w:lvlJc w:val="left"/>
      <w:pPr>
        <w:ind w:left="2880" w:hanging="360"/>
      </w:pPr>
    </w:lvl>
    <w:lvl w:ilvl="4" w:tplc="324E37E8">
      <w:start w:val="1"/>
      <w:numFmt w:val="bullet"/>
      <w:lvlText w:val="○"/>
      <w:lvlJc w:val="left"/>
      <w:pPr>
        <w:ind w:left="3600" w:hanging="360"/>
      </w:pPr>
    </w:lvl>
    <w:lvl w:ilvl="5" w:tplc="4E14A93A">
      <w:start w:val="1"/>
      <w:numFmt w:val="bullet"/>
      <w:lvlText w:val="■"/>
      <w:lvlJc w:val="left"/>
      <w:pPr>
        <w:ind w:left="4320" w:hanging="360"/>
      </w:pPr>
    </w:lvl>
    <w:lvl w:ilvl="6" w:tplc="8CB68A9C">
      <w:start w:val="1"/>
      <w:numFmt w:val="bullet"/>
      <w:lvlText w:val="●"/>
      <w:lvlJc w:val="left"/>
      <w:pPr>
        <w:ind w:left="5040" w:hanging="360"/>
      </w:pPr>
    </w:lvl>
    <w:lvl w:ilvl="7" w:tplc="FE5815C8">
      <w:start w:val="1"/>
      <w:numFmt w:val="bullet"/>
      <w:lvlText w:val="●"/>
      <w:lvlJc w:val="left"/>
      <w:pPr>
        <w:ind w:left="5760" w:hanging="360"/>
      </w:pPr>
    </w:lvl>
    <w:lvl w:ilvl="8" w:tplc="129E8D7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drawingGridHorizontalSpacing w:val="100"/>
  <w:displayHorizontalDrawingGridEvery w:val="2"/>
  <w:characterSpacingControl w:val="doNotCompress"/>
  <w:compat/>
  <w:rsids>
    <w:rsidRoot w:val="008A4FE8"/>
    <w:rsid w:val="00244225"/>
    <w:rsid w:val="002C6B77"/>
    <w:rsid w:val="006141F7"/>
    <w:rsid w:val="008A4FE8"/>
    <w:rsid w:val="008C0379"/>
    <w:rsid w:val="00F375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555"/>
  </w:style>
  <w:style w:type="paragraph" w:styleId="Heading1">
    <w:name w:val="heading 1"/>
    <w:qFormat/>
    <w:rsid w:val="008A4FE8"/>
    <w:pPr>
      <w:outlineLvl w:val="0"/>
    </w:pPr>
    <w:rPr>
      <w:color w:val="2E74B5"/>
      <w:sz w:val="32"/>
      <w:szCs w:val="32"/>
    </w:rPr>
  </w:style>
  <w:style w:type="paragraph" w:styleId="Heading2">
    <w:name w:val="heading 2"/>
    <w:qFormat/>
    <w:rsid w:val="008A4FE8"/>
    <w:pPr>
      <w:outlineLvl w:val="1"/>
    </w:pPr>
    <w:rPr>
      <w:color w:val="2E74B5"/>
      <w:sz w:val="26"/>
      <w:szCs w:val="26"/>
    </w:rPr>
  </w:style>
  <w:style w:type="paragraph" w:styleId="Heading3">
    <w:name w:val="heading 3"/>
    <w:qFormat/>
    <w:rsid w:val="008A4FE8"/>
    <w:pPr>
      <w:outlineLvl w:val="2"/>
    </w:pPr>
    <w:rPr>
      <w:color w:val="1F4D78"/>
      <w:sz w:val="24"/>
      <w:szCs w:val="24"/>
    </w:rPr>
  </w:style>
  <w:style w:type="paragraph" w:styleId="Heading4">
    <w:name w:val="heading 4"/>
    <w:qFormat/>
    <w:rsid w:val="008A4FE8"/>
    <w:pPr>
      <w:outlineLvl w:val="3"/>
    </w:pPr>
    <w:rPr>
      <w:i/>
      <w:iCs/>
      <w:color w:val="2E74B5"/>
    </w:rPr>
  </w:style>
  <w:style w:type="paragraph" w:styleId="Heading5">
    <w:name w:val="heading 5"/>
    <w:qFormat/>
    <w:rsid w:val="008A4FE8"/>
    <w:pPr>
      <w:outlineLvl w:val="4"/>
    </w:pPr>
    <w:rPr>
      <w:color w:val="2E74B5"/>
    </w:rPr>
  </w:style>
  <w:style w:type="paragraph" w:styleId="Heading6">
    <w:name w:val="heading 6"/>
    <w:qFormat/>
    <w:rsid w:val="008A4FE8"/>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8A4FE8"/>
    <w:rPr>
      <w:sz w:val="56"/>
      <w:szCs w:val="56"/>
    </w:rPr>
  </w:style>
  <w:style w:type="paragraph" w:customStyle="1" w:styleId="Strong1">
    <w:name w:val="Strong1"/>
    <w:qFormat/>
    <w:rsid w:val="008A4FE8"/>
    <w:rPr>
      <w:b/>
      <w:bCs/>
    </w:rPr>
  </w:style>
  <w:style w:type="paragraph" w:styleId="ListParagraph">
    <w:name w:val="List Paragraph"/>
    <w:qFormat/>
    <w:rsid w:val="008A4FE8"/>
  </w:style>
  <w:style w:type="character" w:styleId="Hyperlink">
    <w:name w:val="Hyperlink"/>
    <w:uiPriority w:val="99"/>
    <w:unhideWhenUsed/>
    <w:rsid w:val="008A4FE8"/>
    <w:rPr>
      <w:color w:val="0563C1"/>
      <w:u w:val="single"/>
    </w:rPr>
  </w:style>
  <w:style w:type="character" w:styleId="FootnoteReference">
    <w:name w:val="footnote reference"/>
    <w:uiPriority w:val="99"/>
    <w:semiHidden/>
    <w:unhideWhenUsed/>
    <w:rsid w:val="008A4FE8"/>
    <w:rPr>
      <w:vertAlign w:val="superscript"/>
    </w:rPr>
  </w:style>
  <w:style w:type="paragraph" w:styleId="FootnoteText">
    <w:name w:val="footnote text"/>
    <w:link w:val="FootnoteTextChar"/>
    <w:uiPriority w:val="99"/>
    <w:semiHidden/>
    <w:unhideWhenUsed/>
    <w:rsid w:val="008A4FE8"/>
  </w:style>
  <w:style w:type="character" w:customStyle="1" w:styleId="FootnoteTextChar">
    <w:name w:val="Footnote Text Char"/>
    <w:link w:val="FootnoteText"/>
    <w:uiPriority w:val="99"/>
    <w:semiHidden/>
    <w:unhideWhenUsed/>
    <w:rsid w:val="008A4FE8"/>
    <w:rPr>
      <w:sz w:val="20"/>
      <w:szCs w:val="20"/>
    </w:rPr>
  </w:style>
  <w:style w:type="character" w:styleId="EndnoteReference">
    <w:name w:val="endnote reference"/>
    <w:uiPriority w:val="99"/>
    <w:semiHidden/>
    <w:unhideWhenUsed/>
    <w:rsid w:val="008A4FE8"/>
    <w:rPr>
      <w:vertAlign w:val="superscript"/>
    </w:rPr>
  </w:style>
  <w:style w:type="paragraph" w:styleId="EndnoteText">
    <w:name w:val="endnote text"/>
    <w:link w:val="EndnoteTextChar"/>
    <w:uiPriority w:val="99"/>
    <w:semiHidden/>
    <w:unhideWhenUsed/>
    <w:rsid w:val="008A4FE8"/>
  </w:style>
  <w:style w:type="character" w:customStyle="1" w:styleId="EndnoteTextChar">
    <w:name w:val="Endnote Text Char"/>
    <w:link w:val="EndnoteText"/>
    <w:uiPriority w:val="99"/>
    <w:semiHidden/>
    <w:unhideWhenUsed/>
    <w:rsid w:val="008A4FE8"/>
    <w:rPr>
      <w:sz w:val="20"/>
      <w:szCs w:val="20"/>
    </w:rPr>
  </w:style>
  <w:style w:type="table" w:styleId="TableGrid">
    <w:name w:val="Table Grid"/>
    <w:basedOn w:val="TableNormal"/>
    <w:uiPriority w:val="59"/>
    <w:rsid w:val="002442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32578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572</Words>
  <Characters>3263</Characters>
  <Application>Microsoft Office Word</Application>
  <DocSecurity>0</DocSecurity>
  <Lines>27</Lines>
  <Paragraphs>7</Paragraphs>
  <ScaleCrop>false</ScaleCrop>
  <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5</cp:revision>
  <dcterms:created xsi:type="dcterms:W3CDTF">2026-09-30T21:13:00Z</dcterms:created>
  <dcterms:modified xsi:type="dcterms:W3CDTF">2026-10-01T13:56:00Z</dcterms:modified>
</cp:coreProperties>
</file>